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9AC" w:rsidRPr="00BB0668" w:rsidRDefault="008209AC" w:rsidP="008209AC">
      <w:pPr>
        <w:pStyle w:val="Header"/>
        <w:tabs>
          <w:tab w:val="right" w:pos="9639"/>
        </w:tabs>
        <w:jc w:val="both"/>
        <w:rPr>
          <w:rFonts w:cs="Courier New"/>
          <w:sz w:val="24"/>
          <w:szCs w:val="24"/>
        </w:rPr>
      </w:pPr>
      <w:r w:rsidRPr="00BB0668">
        <w:rPr>
          <w:rFonts w:cs="Courier New"/>
          <w:sz w:val="24"/>
          <w:szCs w:val="24"/>
        </w:rPr>
        <w:t>3GPP TSG-RAN WG4 #</w:t>
      </w:r>
      <w:r w:rsidR="00575814" w:rsidRPr="00BB0668">
        <w:rPr>
          <w:rFonts w:cs="Courier New"/>
          <w:sz w:val="24"/>
          <w:szCs w:val="24"/>
        </w:rPr>
        <w:t>8</w:t>
      </w:r>
      <w:r w:rsidR="005B0F9F" w:rsidRPr="00BB0668">
        <w:rPr>
          <w:rFonts w:cs="Courier New"/>
          <w:sz w:val="24"/>
          <w:szCs w:val="24"/>
        </w:rPr>
        <w:t>4</w:t>
      </w:r>
      <w:r w:rsidRPr="00BB0668">
        <w:rPr>
          <w:rFonts w:cs="Courier New"/>
          <w:sz w:val="24"/>
          <w:szCs w:val="24"/>
        </w:rPr>
        <w:tab/>
        <w:t>R4-</w:t>
      </w:r>
      <w:r w:rsidR="005D50DD" w:rsidRPr="00BB0668">
        <w:rPr>
          <w:rFonts w:cs="Courier New"/>
          <w:sz w:val="24"/>
          <w:szCs w:val="24"/>
        </w:rPr>
        <w:t>171</w:t>
      </w:r>
      <w:r w:rsidR="005D50DD">
        <w:rPr>
          <w:rFonts w:cs="Courier New"/>
          <w:sz w:val="24"/>
          <w:szCs w:val="24"/>
        </w:rPr>
        <w:t>3639</w:t>
      </w:r>
    </w:p>
    <w:p w:rsidR="008209AC" w:rsidRPr="00DB3907" w:rsidRDefault="00D75565" w:rsidP="008209AC">
      <w:pPr>
        <w:pStyle w:val="Header"/>
        <w:tabs>
          <w:tab w:val="left" w:pos="6521"/>
        </w:tabs>
        <w:jc w:val="both"/>
        <w:rPr>
          <w:rFonts w:cs="Courier New"/>
          <w:sz w:val="24"/>
          <w:szCs w:val="24"/>
        </w:rPr>
      </w:pPr>
      <w:r>
        <w:rPr>
          <w:rFonts w:cs="Courier New"/>
          <w:sz w:val="24"/>
          <w:szCs w:val="24"/>
        </w:rPr>
        <w:t>November</w:t>
      </w:r>
      <w:r w:rsidR="008209AC">
        <w:rPr>
          <w:rFonts w:cs="Courier New"/>
          <w:sz w:val="24"/>
          <w:szCs w:val="24"/>
        </w:rPr>
        <w:t xml:space="preserve"> </w:t>
      </w:r>
      <w:r w:rsidR="005B0F9F">
        <w:rPr>
          <w:rFonts w:cs="Courier New"/>
          <w:sz w:val="24"/>
          <w:szCs w:val="24"/>
        </w:rPr>
        <w:t>2</w:t>
      </w:r>
      <w:r>
        <w:rPr>
          <w:rFonts w:cs="Courier New"/>
          <w:sz w:val="24"/>
          <w:szCs w:val="24"/>
        </w:rPr>
        <w:t>7</w:t>
      </w:r>
      <w:r w:rsidR="005B0F9F">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December 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rsidR="008209AC" w:rsidRPr="00DB3907" w:rsidRDefault="00D75565" w:rsidP="008209AC">
      <w:pPr>
        <w:pStyle w:val="Header"/>
        <w:jc w:val="both"/>
        <w:rPr>
          <w:rFonts w:cs="Courier New"/>
          <w:sz w:val="24"/>
          <w:szCs w:val="24"/>
        </w:rPr>
      </w:pPr>
      <w:r>
        <w:rPr>
          <w:rFonts w:cs="Courier New"/>
          <w:sz w:val="24"/>
          <w:szCs w:val="24"/>
        </w:rPr>
        <w:t>Reno</w:t>
      </w:r>
      <w:r w:rsidR="00575814" w:rsidRPr="00575814">
        <w:rPr>
          <w:rFonts w:cs="Courier New"/>
          <w:sz w:val="24"/>
          <w:szCs w:val="24"/>
        </w:rPr>
        <w:t xml:space="preserve">, </w:t>
      </w:r>
      <w:r>
        <w:rPr>
          <w:rFonts w:cs="Courier New"/>
          <w:sz w:val="24"/>
          <w:szCs w:val="24"/>
        </w:rPr>
        <w:t>Neveda, USA</w:t>
      </w:r>
      <w:r w:rsidR="008209AC">
        <w:rPr>
          <w:rFonts w:cs="Courier New"/>
          <w:sz w:val="24"/>
          <w:szCs w:val="24"/>
        </w:rPr>
        <w:t xml:space="preserve"> </w:t>
      </w: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75565">
        <w:rPr>
          <w:rFonts w:ascii="Arial" w:hAnsi="Arial"/>
          <w:sz w:val="24"/>
          <w:lang w:val="en-US"/>
        </w:rPr>
        <w:t>9.4.4.</w:t>
      </w:r>
      <w:r w:rsidR="00EC5A59">
        <w:rPr>
          <w:rFonts w:ascii="Arial" w:hAnsi="Arial"/>
          <w:sz w:val="24"/>
          <w:lang w:val="en-US"/>
        </w:rPr>
        <w:t>5</w:t>
      </w:r>
      <w:r w:rsidR="00D75565">
        <w:rPr>
          <w:rFonts w:ascii="Arial" w:hAnsi="Arial"/>
          <w:sz w:val="24"/>
          <w:lang w:val="en-US"/>
        </w:rPr>
        <w:t>.2</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51CB">
        <w:rPr>
          <w:rFonts w:ascii="Arial" w:hAnsi="Arial"/>
          <w:sz w:val="24"/>
          <w:lang w:val="en-US"/>
        </w:rPr>
        <w:t>On</w:t>
      </w:r>
      <w:r w:rsidR="00D85C68" w:rsidRPr="00D85C68">
        <w:rPr>
          <w:rFonts w:ascii="Arial" w:hAnsi="Arial"/>
          <w:sz w:val="24"/>
          <w:lang w:val="en-US"/>
        </w:rPr>
        <w:t xml:space="preserve"> </w:t>
      </w:r>
      <w:r w:rsidR="00CF2DCB">
        <w:rPr>
          <w:rFonts w:ascii="Arial" w:hAnsi="Arial"/>
          <w:sz w:val="24"/>
          <w:lang w:val="en-US"/>
        </w:rPr>
        <w:t xml:space="preserve">UE </w:t>
      </w:r>
      <w:r w:rsidR="00710949">
        <w:rPr>
          <w:rFonts w:ascii="Arial" w:hAnsi="Arial"/>
          <w:sz w:val="24"/>
          <w:lang w:val="en-US"/>
        </w:rPr>
        <w:t>OOB</w:t>
      </w:r>
      <w:r w:rsidR="00D85C68" w:rsidRPr="00D85C68">
        <w:rPr>
          <w:rFonts w:ascii="Arial" w:hAnsi="Arial"/>
          <w:sz w:val="24"/>
          <w:lang w:val="en-US"/>
        </w:rPr>
        <w:t xml:space="preserve"> </w:t>
      </w:r>
      <w:r w:rsidR="00CF2DCB">
        <w:rPr>
          <w:rFonts w:ascii="Arial" w:hAnsi="Arial"/>
          <w:sz w:val="24"/>
          <w:lang w:val="en-US"/>
        </w:rPr>
        <w:t xml:space="preserve">blocking </w:t>
      </w:r>
      <w:r w:rsidR="00D85C68" w:rsidRPr="00D85C68">
        <w:rPr>
          <w:rFonts w:ascii="Arial" w:hAnsi="Arial"/>
          <w:sz w:val="24"/>
          <w:lang w:val="en-US"/>
        </w:rPr>
        <w:t>requirement for mmW</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EC5A59" w:rsidRDefault="00EC5A59" w:rsidP="0020451B">
      <w:pPr>
        <w:jc w:val="both"/>
      </w:pPr>
      <w:r>
        <w:t xml:space="preserve">In this </w:t>
      </w:r>
      <w:proofErr w:type="gramStart"/>
      <w:r>
        <w:t>contribution</w:t>
      </w:r>
      <w:proofErr w:type="gramEnd"/>
      <w:r>
        <w:t xml:space="preserve"> we focus on out-of-band </w:t>
      </w:r>
      <w:r w:rsidR="004D2532">
        <w:t>(</w:t>
      </w:r>
      <w:r w:rsidR="004D2532">
        <w:t>OOB</w:t>
      </w:r>
      <w:r w:rsidR="004D2532">
        <w:t xml:space="preserve">) blocking </w:t>
      </w:r>
      <w:r>
        <w:t>requirement for range 2 NR</w:t>
      </w:r>
      <w:r w:rsidR="00970ED3">
        <w:t>.</w:t>
      </w:r>
      <w:r>
        <w:t xml:space="preserve"> So far, no specific proposals were made on this topic.</w:t>
      </w:r>
    </w:p>
    <w:p w:rsidR="00D85C68" w:rsidRDefault="00EC5A59" w:rsidP="0020451B">
      <w:pPr>
        <w:jc w:val="both"/>
      </w:pPr>
      <w:r>
        <w:t xml:space="preserve">In the following, we provide a short review of what we believe are the most critical blockers for systems operating in </w:t>
      </w:r>
      <w:proofErr w:type="spellStart"/>
      <w:r>
        <w:t>millim</w:t>
      </w:r>
      <w:r w:rsidR="005D50DD">
        <w:t>e</w:t>
      </w:r>
      <w:r>
        <w:t>ter</w:t>
      </w:r>
      <w:proofErr w:type="spellEnd"/>
      <w:r>
        <w:t xml:space="preserve"> wave (mmW) bands and we will make a proposal for the definition of OOB </w:t>
      </w:r>
      <w:r w:rsidR="004D2532">
        <w:t xml:space="preserve">blocking (OOBB) </w:t>
      </w:r>
      <w:r>
        <w:t>requirement in TS 38.801.</w:t>
      </w:r>
      <w:r w:rsidR="000D21EC">
        <w:t xml:space="preserve"> </w:t>
      </w:r>
    </w:p>
    <w:p w:rsidR="00781440" w:rsidRDefault="00981D0D" w:rsidP="00AC033F">
      <w:pPr>
        <w:pStyle w:val="Heading1"/>
        <w:tabs>
          <w:tab w:val="clear" w:pos="432"/>
          <w:tab w:val="num" w:pos="522"/>
        </w:tabs>
        <w:ind w:left="522" w:hanging="522"/>
        <w:jc w:val="both"/>
        <w:rPr>
          <w:lang w:val="en-US"/>
        </w:rPr>
      </w:pPr>
      <w:r>
        <w:rPr>
          <w:lang w:val="en-US"/>
        </w:rPr>
        <w:t>Discussion</w:t>
      </w:r>
    </w:p>
    <w:p w:rsidR="00071365" w:rsidRDefault="00071365" w:rsidP="00256568">
      <w:pPr>
        <w:jc w:val="both"/>
        <w:rPr>
          <w:lang w:val="en-US"/>
        </w:rPr>
      </w:pPr>
      <w:r>
        <w:rPr>
          <w:lang w:val="en-US"/>
        </w:rPr>
        <w:t>So far RAN4 only addressed ACS and IBB requirements for range 2 NR. Single carrier ACS and IBB were already agreed</w:t>
      </w:r>
      <w:r w:rsidR="00A00C86">
        <w:rPr>
          <w:lang w:val="en-US"/>
        </w:rPr>
        <w:t xml:space="preserve"> </w:t>
      </w:r>
      <w:r w:rsidR="00D01966">
        <w:rPr>
          <w:lang w:val="en-US"/>
        </w:rPr>
        <w:fldChar w:fldCharType="begin"/>
      </w:r>
      <w:r w:rsidR="00D01966">
        <w:rPr>
          <w:lang w:val="en-US"/>
        </w:rPr>
        <w:instrText xml:space="preserve"> REF _Ref498002920 \r \h </w:instrText>
      </w:r>
      <w:r w:rsidR="00D01966">
        <w:rPr>
          <w:lang w:val="en-US"/>
        </w:rPr>
      </w:r>
      <w:r w:rsidR="00D01966">
        <w:rPr>
          <w:lang w:val="en-US"/>
        </w:rPr>
        <w:fldChar w:fldCharType="separate"/>
      </w:r>
      <w:r w:rsidR="004D2532">
        <w:rPr>
          <w:lang w:val="en-US"/>
        </w:rPr>
        <w:t>[1]</w:t>
      </w:r>
      <w:r w:rsidR="00D01966">
        <w:rPr>
          <w:lang w:val="en-US"/>
        </w:rPr>
        <w:fldChar w:fldCharType="end"/>
      </w:r>
      <w:r w:rsidR="00256568">
        <w:rPr>
          <w:lang w:val="en-US"/>
        </w:rPr>
        <w:t xml:space="preserve"> and</w:t>
      </w:r>
      <w:r w:rsidR="00D01966">
        <w:rPr>
          <w:lang w:val="en-US"/>
        </w:rPr>
        <w:t xml:space="preserve"> </w:t>
      </w:r>
      <w:r w:rsidR="00D01966">
        <w:rPr>
          <w:lang w:val="en-US"/>
        </w:rPr>
        <w:fldChar w:fldCharType="begin"/>
      </w:r>
      <w:r w:rsidR="00D01966">
        <w:rPr>
          <w:lang w:val="en-US"/>
        </w:rPr>
        <w:instrText xml:space="preserve"> REF _Ref498001918 \r \h </w:instrText>
      </w:r>
      <w:r w:rsidR="00D01966">
        <w:rPr>
          <w:lang w:val="en-US"/>
        </w:rPr>
      </w:r>
      <w:r w:rsidR="00D01966">
        <w:rPr>
          <w:lang w:val="en-US"/>
        </w:rPr>
        <w:fldChar w:fldCharType="separate"/>
      </w:r>
      <w:r w:rsidR="004D2532">
        <w:rPr>
          <w:lang w:val="en-US"/>
        </w:rPr>
        <w:t>[2]</w:t>
      </w:r>
      <w:r w:rsidR="00D01966">
        <w:rPr>
          <w:lang w:val="en-US"/>
        </w:rPr>
        <w:fldChar w:fldCharType="end"/>
      </w:r>
      <w:r w:rsidR="00256568">
        <w:rPr>
          <w:lang w:val="en-US"/>
        </w:rPr>
        <w:t xml:space="preserve">, and implemented in the version of TS 38.801-2 approved through e-mail </w:t>
      </w:r>
      <w:r w:rsidR="00D01966">
        <w:rPr>
          <w:lang w:val="en-US"/>
        </w:rPr>
        <w:fldChar w:fldCharType="begin"/>
      </w:r>
      <w:r w:rsidR="00D01966">
        <w:rPr>
          <w:lang w:val="en-US"/>
        </w:rPr>
        <w:instrText xml:space="preserve"> REF _Ref498004167 \r \h </w:instrText>
      </w:r>
      <w:r w:rsidR="00D01966">
        <w:rPr>
          <w:lang w:val="en-US"/>
        </w:rPr>
      </w:r>
      <w:r w:rsidR="00D01966">
        <w:rPr>
          <w:lang w:val="en-US"/>
        </w:rPr>
        <w:fldChar w:fldCharType="separate"/>
      </w:r>
      <w:r w:rsidR="004D2532">
        <w:rPr>
          <w:lang w:val="en-US"/>
        </w:rPr>
        <w:t>[3]</w:t>
      </w:r>
      <w:r w:rsidR="00D01966">
        <w:rPr>
          <w:lang w:val="en-US"/>
        </w:rPr>
        <w:fldChar w:fldCharType="end"/>
      </w:r>
      <w:r w:rsidR="00D01966">
        <w:rPr>
          <w:lang w:val="en-US"/>
        </w:rPr>
        <w:t>.</w:t>
      </w:r>
      <w:r w:rsidR="00256568">
        <w:rPr>
          <w:lang w:val="en-US"/>
        </w:rPr>
        <w:t xml:space="preserve"> Proposals for the requirement applicable to the carrier aggregation case are made in</w:t>
      </w:r>
      <w:r w:rsidR="00D01966">
        <w:rPr>
          <w:lang w:val="en-US"/>
        </w:rPr>
        <w:t xml:space="preserve"> </w:t>
      </w:r>
      <w:r w:rsidR="00D01966">
        <w:rPr>
          <w:lang w:val="en-US"/>
        </w:rPr>
        <w:fldChar w:fldCharType="begin"/>
      </w:r>
      <w:r w:rsidR="00D01966">
        <w:rPr>
          <w:lang w:val="en-US"/>
        </w:rPr>
        <w:instrText xml:space="preserve"> REF _Ref498707653 \r \h </w:instrText>
      </w:r>
      <w:r w:rsidR="00D01966">
        <w:rPr>
          <w:lang w:val="en-US"/>
        </w:rPr>
      </w:r>
      <w:r w:rsidR="00D01966">
        <w:rPr>
          <w:lang w:val="en-US"/>
        </w:rPr>
        <w:fldChar w:fldCharType="separate"/>
      </w:r>
      <w:r w:rsidR="004D2532">
        <w:rPr>
          <w:lang w:val="en-US"/>
        </w:rPr>
        <w:t>[4]</w:t>
      </w:r>
      <w:r w:rsidR="00D01966">
        <w:rPr>
          <w:lang w:val="en-US"/>
        </w:rPr>
        <w:fldChar w:fldCharType="end"/>
      </w:r>
      <w:r w:rsidR="00D01966">
        <w:rPr>
          <w:lang w:val="en-US"/>
        </w:rPr>
        <w:fldChar w:fldCharType="begin"/>
      </w:r>
      <w:r w:rsidR="00D01966">
        <w:rPr>
          <w:lang w:val="en-US"/>
        </w:rPr>
        <w:instrText xml:space="preserve"> REF _Ref498707655 \r \h </w:instrText>
      </w:r>
      <w:r w:rsidR="00D01966">
        <w:rPr>
          <w:lang w:val="en-US"/>
        </w:rPr>
      </w:r>
      <w:r w:rsidR="00D01966">
        <w:rPr>
          <w:lang w:val="en-US"/>
        </w:rPr>
        <w:fldChar w:fldCharType="separate"/>
      </w:r>
      <w:r w:rsidR="004D2532">
        <w:rPr>
          <w:lang w:val="en-US"/>
        </w:rPr>
        <w:t>[5]</w:t>
      </w:r>
      <w:r w:rsidR="00D01966">
        <w:rPr>
          <w:lang w:val="en-US"/>
        </w:rPr>
        <w:fldChar w:fldCharType="end"/>
      </w:r>
      <w:r w:rsidR="00256568">
        <w:rPr>
          <w:lang w:val="en-US"/>
        </w:rPr>
        <w:t>.</w:t>
      </w:r>
    </w:p>
    <w:p w:rsidR="0027020A" w:rsidRDefault="0027020A" w:rsidP="00256568">
      <w:pPr>
        <w:jc w:val="both"/>
        <w:rPr>
          <w:lang w:val="en-US"/>
        </w:rPr>
      </w:pPr>
      <w:r>
        <w:rPr>
          <w:lang w:val="en-US"/>
        </w:rPr>
        <w:t>In the following we will focus on OOB</w:t>
      </w:r>
      <w:r w:rsidR="004D2532">
        <w:rPr>
          <w:lang w:val="en-US"/>
        </w:rPr>
        <w:t>B</w:t>
      </w:r>
      <w:r>
        <w:rPr>
          <w:lang w:val="en-US"/>
        </w:rPr>
        <w:t xml:space="preserve"> requirement discussing both frequency region and jammer level.</w:t>
      </w:r>
    </w:p>
    <w:p w:rsidR="000813B9" w:rsidRDefault="004D2532" w:rsidP="00774E94">
      <w:pPr>
        <w:pStyle w:val="Heading2"/>
        <w:rPr>
          <w:lang w:val="en-US"/>
        </w:rPr>
      </w:pPr>
      <w:r>
        <w:rPr>
          <w:lang w:val="en-US"/>
        </w:rPr>
        <w:t>OOBB</w:t>
      </w:r>
      <w:r w:rsidR="00774E94">
        <w:rPr>
          <w:lang w:val="en-US"/>
        </w:rPr>
        <w:t xml:space="preserve"> requirement</w:t>
      </w:r>
      <w:r w:rsidR="000813B9">
        <w:rPr>
          <w:lang w:val="en-US"/>
        </w:rPr>
        <w:t>: frequency region</w:t>
      </w:r>
    </w:p>
    <w:p w:rsidR="00256568" w:rsidRDefault="00256568" w:rsidP="00256568">
      <w:pPr>
        <w:jc w:val="both"/>
        <w:rPr>
          <w:lang w:val="en-US"/>
        </w:rPr>
      </w:pPr>
      <w:r>
        <w:rPr>
          <w:lang w:val="en-US"/>
        </w:rPr>
        <w:t xml:space="preserve">In order to </w:t>
      </w:r>
      <w:r w:rsidR="00F71499">
        <w:rPr>
          <w:lang w:val="en-US"/>
        </w:rPr>
        <w:t>define the starting of out-of-band region, it is necessary to recall the location of ACS and IBB signals. As it can be noted, both ACS and IBB jammers bandwidths are equal to the wanted signal channel bandwidth. Furthermore, IBB has a variable frequency location (compared to the wanted signal) which can span from F</w:t>
      </w:r>
      <w:r w:rsidR="00F71499" w:rsidRPr="00F71499">
        <w:rPr>
          <w:vertAlign w:val="subscript"/>
          <w:lang w:val="en-US"/>
        </w:rPr>
        <w:t>DL_low</w:t>
      </w:r>
      <w:r w:rsidR="00F71499">
        <w:rPr>
          <w:lang w:val="en-US"/>
        </w:rPr>
        <w:t>-1.5BW to F</w:t>
      </w:r>
      <w:r w:rsidR="00F71499" w:rsidRPr="00F71499">
        <w:rPr>
          <w:vertAlign w:val="subscript"/>
          <w:lang w:val="en-US"/>
        </w:rPr>
        <w:t>DL_high</w:t>
      </w:r>
      <w:r w:rsidR="00F71499">
        <w:rPr>
          <w:lang w:val="en-US"/>
        </w:rPr>
        <w:t>+1.5BW. As a consequence</w:t>
      </w:r>
      <w:r w:rsidR="002A3105">
        <w:rPr>
          <w:lang w:val="en-US"/>
        </w:rPr>
        <w:t>,</w:t>
      </w:r>
      <w:r w:rsidR="00F71499">
        <w:rPr>
          <w:lang w:val="en-US"/>
        </w:rPr>
        <w:t xml:space="preserve"> the region covered </w:t>
      </w:r>
      <w:r w:rsidR="002C6234">
        <w:rPr>
          <w:lang w:val="en-US"/>
        </w:rPr>
        <w:t xml:space="preserve">by in-band </w:t>
      </w:r>
      <w:r w:rsidR="002A3105">
        <w:rPr>
          <w:lang w:val="en-US"/>
        </w:rPr>
        <w:t>blocking requirements spans from F</w:t>
      </w:r>
      <w:r w:rsidR="002A3105" w:rsidRPr="00F71499">
        <w:rPr>
          <w:vertAlign w:val="subscript"/>
          <w:lang w:val="en-US"/>
        </w:rPr>
        <w:t>DL_low</w:t>
      </w:r>
      <w:r w:rsidR="002A3105">
        <w:rPr>
          <w:lang w:val="en-US"/>
        </w:rPr>
        <w:t>-2BW to F</w:t>
      </w:r>
      <w:r w:rsidR="002A3105" w:rsidRPr="00F71499">
        <w:rPr>
          <w:vertAlign w:val="subscript"/>
          <w:lang w:val="en-US"/>
        </w:rPr>
        <w:t>DL_high</w:t>
      </w:r>
      <w:r w:rsidR="002A3105">
        <w:rPr>
          <w:lang w:val="en-US"/>
        </w:rPr>
        <w:t>+2BW.</w:t>
      </w:r>
    </w:p>
    <w:p w:rsidR="002A3105" w:rsidRDefault="002A3105" w:rsidP="00071365">
      <w:pPr>
        <w:rPr>
          <w:b/>
          <w:i/>
          <w:lang w:val="en-US"/>
        </w:rPr>
      </w:pPr>
      <w:r>
        <w:rPr>
          <w:b/>
          <w:i/>
          <w:lang w:val="en-US"/>
        </w:rPr>
        <w:t xml:space="preserve">Observation 1: For range 2 NR, </w:t>
      </w:r>
      <w:r w:rsidRPr="002A3105">
        <w:rPr>
          <w:b/>
          <w:i/>
          <w:lang w:val="en-US"/>
        </w:rPr>
        <w:t>the region covered by in-band blocking requirements spans from F</w:t>
      </w:r>
      <w:r w:rsidRPr="002A3105">
        <w:rPr>
          <w:b/>
          <w:i/>
          <w:vertAlign w:val="subscript"/>
          <w:lang w:val="en-US"/>
        </w:rPr>
        <w:t>DL</w:t>
      </w:r>
      <w:r w:rsidR="003F1D92">
        <w:rPr>
          <w:b/>
          <w:i/>
          <w:vertAlign w:val="subscript"/>
          <w:lang w:val="en-US"/>
        </w:rPr>
        <w:t>_</w:t>
      </w:r>
      <w:r w:rsidRPr="002A3105">
        <w:rPr>
          <w:b/>
          <w:i/>
          <w:vertAlign w:val="subscript"/>
          <w:lang w:val="en-US"/>
        </w:rPr>
        <w:t>low</w:t>
      </w:r>
      <w:r w:rsidRPr="002A3105">
        <w:rPr>
          <w:b/>
          <w:i/>
          <w:lang w:val="en-US"/>
        </w:rPr>
        <w:t>-2</w:t>
      </w:r>
      <w:r w:rsidR="003F1D92">
        <w:rPr>
          <w:rFonts w:ascii="Calibri" w:hAnsi="Calibri"/>
          <w:b/>
          <w:i/>
          <w:lang w:val="en-US"/>
        </w:rPr>
        <w:t>∙</w:t>
      </w:r>
      <w:r w:rsidRPr="002A3105">
        <w:rPr>
          <w:b/>
          <w:i/>
          <w:lang w:val="en-US"/>
        </w:rPr>
        <w:t>BW to F</w:t>
      </w:r>
      <w:r w:rsidRPr="002A3105">
        <w:rPr>
          <w:b/>
          <w:i/>
          <w:vertAlign w:val="subscript"/>
          <w:lang w:val="en-US"/>
        </w:rPr>
        <w:t>DL_high</w:t>
      </w:r>
      <w:r w:rsidRPr="002A3105">
        <w:rPr>
          <w:b/>
          <w:i/>
          <w:lang w:val="en-US"/>
        </w:rPr>
        <w:t>+2</w:t>
      </w:r>
      <w:r w:rsidR="003F1D92">
        <w:rPr>
          <w:rFonts w:ascii="Calibri" w:hAnsi="Calibri"/>
          <w:b/>
          <w:i/>
          <w:lang w:val="en-US"/>
        </w:rPr>
        <w:t>∙</w:t>
      </w:r>
      <w:r w:rsidRPr="002A3105">
        <w:rPr>
          <w:b/>
          <w:i/>
          <w:lang w:val="en-US"/>
        </w:rPr>
        <w:t>BW</w:t>
      </w:r>
    </w:p>
    <w:p w:rsidR="002A3105" w:rsidRPr="002A3105" w:rsidRDefault="002A3105" w:rsidP="003F1D92">
      <w:pPr>
        <w:jc w:val="both"/>
        <w:rPr>
          <w:lang w:val="en-US"/>
        </w:rPr>
      </w:pPr>
      <w:r>
        <w:rPr>
          <w:lang w:val="en-US"/>
        </w:rPr>
        <w:t>Based on observation 1</w:t>
      </w:r>
      <w:r w:rsidR="002A7AD7">
        <w:rPr>
          <w:lang w:val="en-US"/>
        </w:rPr>
        <w:t xml:space="preserve">, it is natural to propose start the </w:t>
      </w:r>
      <w:r w:rsidR="004D2532">
        <w:rPr>
          <w:lang w:val="en-US"/>
        </w:rPr>
        <w:t>OOBB</w:t>
      </w:r>
      <w:r w:rsidR="002A7AD7">
        <w:rPr>
          <w:lang w:val="en-US"/>
        </w:rPr>
        <w:t xml:space="preserve"> region for Rx requirements </w:t>
      </w:r>
      <w:r w:rsidR="003F1D92">
        <w:rPr>
          <w:lang w:val="en-US"/>
        </w:rPr>
        <w:t>below</w:t>
      </w:r>
      <w:r w:rsidR="002A7AD7">
        <w:rPr>
          <w:lang w:val="en-US"/>
        </w:rPr>
        <w:t xml:space="preserve"> </w:t>
      </w:r>
      <w:r w:rsidR="002A7AD7" w:rsidRPr="002A7AD7">
        <w:rPr>
          <w:lang w:val="en-US"/>
        </w:rPr>
        <w:t>F</w:t>
      </w:r>
      <w:r w:rsidR="002A7AD7" w:rsidRPr="003F1D92">
        <w:rPr>
          <w:vertAlign w:val="subscript"/>
          <w:lang w:val="en-US"/>
        </w:rPr>
        <w:t>DL_low</w:t>
      </w:r>
      <w:r w:rsidR="002A7AD7" w:rsidRPr="002A7AD7">
        <w:rPr>
          <w:lang w:val="en-US"/>
        </w:rPr>
        <w:t>-2</w:t>
      </w:r>
      <w:r w:rsidR="003F1D92" w:rsidRPr="003F1D92">
        <w:rPr>
          <w:rFonts w:ascii="Calibri" w:hAnsi="Calibri"/>
          <w:lang w:val="en-US"/>
        </w:rPr>
        <w:t>∙</w:t>
      </w:r>
      <w:r w:rsidR="002A7AD7" w:rsidRPr="002A7AD7">
        <w:rPr>
          <w:lang w:val="en-US"/>
        </w:rPr>
        <w:t xml:space="preserve">BW </w:t>
      </w:r>
      <w:r w:rsidR="003F1D92">
        <w:rPr>
          <w:lang w:val="en-US"/>
        </w:rPr>
        <w:t>and above</w:t>
      </w:r>
      <w:r w:rsidR="002A7AD7" w:rsidRPr="002A7AD7">
        <w:rPr>
          <w:lang w:val="en-US"/>
        </w:rPr>
        <w:t xml:space="preserve"> F</w:t>
      </w:r>
      <w:r w:rsidR="002A7AD7" w:rsidRPr="003F1D92">
        <w:rPr>
          <w:vertAlign w:val="subscript"/>
          <w:lang w:val="en-US"/>
        </w:rPr>
        <w:t>DL_high</w:t>
      </w:r>
      <w:r w:rsidR="002A7AD7" w:rsidRPr="002A7AD7">
        <w:rPr>
          <w:lang w:val="en-US"/>
        </w:rPr>
        <w:t>+2</w:t>
      </w:r>
      <w:r w:rsidR="003F1D92" w:rsidRPr="003F1D92">
        <w:rPr>
          <w:rFonts w:ascii="Calibri" w:hAnsi="Calibri"/>
          <w:i/>
          <w:lang w:val="en-US"/>
        </w:rPr>
        <w:t>∙</w:t>
      </w:r>
      <w:r w:rsidR="002A7AD7" w:rsidRPr="002A7AD7">
        <w:rPr>
          <w:lang w:val="en-US"/>
        </w:rPr>
        <w:t>BW</w:t>
      </w:r>
      <w:r w:rsidR="003F1D92">
        <w:rPr>
          <w:lang w:val="en-US"/>
        </w:rPr>
        <w:t>:</w:t>
      </w:r>
    </w:p>
    <w:p w:rsidR="003F1D92" w:rsidRDefault="00071365" w:rsidP="003F1D92">
      <w:pPr>
        <w:jc w:val="both"/>
        <w:rPr>
          <w:b/>
          <w:i/>
          <w:lang w:val="en-US"/>
        </w:rPr>
      </w:pPr>
      <w:r w:rsidRPr="00071365">
        <w:rPr>
          <w:b/>
          <w:i/>
          <w:lang w:val="en-US"/>
        </w:rPr>
        <w:t>Proposal 1:</w:t>
      </w:r>
      <w:r w:rsidR="003F1D92">
        <w:rPr>
          <w:b/>
          <w:i/>
          <w:lang w:val="en-US"/>
        </w:rPr>
        <w:t xml:space="preserve"> for single carrier NR in Range 2, </w:t>
      </w:r>
      <w:r w:rsidR="004D2532">
        <w:rPr>
          <w:b/>
          <w:i/>
          <w:lang w:val="en-US"/>
        </w:rPr>
        <w:t>OOBB</w:t>
      </w:r>
      <w:r w:rsidR="003F1D92">
        <w:rPr>
          <w:b/>
          <w:i/>
          <w:lang w:val="en-US"/>
        </w:rPr>
        <w:t xml:space="preserve"> receiver requirements are defined below </w:t>
      </w:r>
      <w:r w:rsidR="003F1D92" w:rsidRPr="003F1D92">
        <w:rPr>
          <w:b/>
          <w:i/>
          <w:lang w:val="en-US"/>
        </w:rPr>
        <w:t>F</w:t>
      </w:r>
      <w:r w:rsidR="003F1D92" w:rsidRPr="003F1D92">
        <w:rPr>
          <w:b/>
          <w:i/>
          <w:vertAlign w:val="subscript"/>
          <w:lang w:val="en-US"/>
        </w:rPr>
        <w:t>DL_low</w:t>
      </w:r>
      <w:r w:rsidR="003F1D92" w:rsidRPr="003F1D92">
        <w:rPr>
          <w:b/>
          <w:i/>
          <w:lang w:val="en-US"/>
        </w:rPr>
        <w:t>-2</w:t>
      </w:r>
      <w:r w:rsidR="003F1D92" w:rsidRPr="003F1D92">
        <w:rPr>
          <w:rFonts w:ascii="Calibri" w:hAnsi="Calibri"/>
          <w:b/>
          <w:i/>
          <w:lang w:val="en-US"/>
        </w:rPr>
        <w:t>∙</w:t>
      </w:r>
      <w:r w:rsidR="003F1D92" w:rsidRPr="003F1D92">
        <w:rPr>
          <w:b/>
          <w:i/>
          <w:lang w:val="en-US"/>
        </w:rPr>
        <w:t>BW and above F</w:t>
      </w:r>
      <w:r w:rsidR="003F1D92" w:rsidRPr="003F1D92">
        <w:rPr>
          <w:b/>
          <w:i/>
          <w:vertAlign w:val="subscript"/>
          <w:lang w:val="en-US"/>
        </w:rPr>
        <w:t>DL_high</w:t>
      </w:r>
      <w:r w:rsidR="003F1D92" w:rsidRPr="003F1D92">
        <w:rPr>
          <w:b/>
          <w:i/>
          <w:lang w:val="en-US"/>
        </w:rPr>
        <w:t>+2</w:t>
      </w:r>
      <w:r w:rsidR="003F1D92" w:rsidRPr="003F1D92">
        <w:rPr>
          <w:rFonts w:ascii="Calibri" w:hAnsi="Calibri"/>
          <w:b/>
          <w:i/>
          <w:lang w:val="en-US"/>
        </w:rPr>
        <w:t>∙</w:t>
      </w:r>
      <w:r w:rsidR="003F1D92" w:rsidRPr="003F1D92">
        <w:rPr>
          <w:b/>
          <w:i/>
          <w:lang w:val="en-US"/>
        </w:rPr>
        <w:t>BW</w:t>
      </w:r>
      <w:r w:rsidR="003F1D92">
        <w:rPr>
          <w:b/>
          <w:i/>
          <w:lang w:val="en-US"/>
        </w:rPr>
        <w:t>.</w:t>
      </w:r>
    </w:p>
    <w:p w:rsidR="003F1D92" w:rsidRPr="003F1D92" w:rsidRDefault="003F1D92" w:rsidP="003F1D92">
      <w:pPr>
        <w:jc w:val="both"/>
        <w:rPr>
          <w:lang w:val="en-US"/>
        </w:rPr>
      </w:pPr>
      <w:r w:rsidRPr="003F1D92">
        <w:rPr>
          <w:lang w:val="en-US"/>
        </w:rPr>
        <w:t>A</w:t>
      </w:r>
      <w:r>
        <w:rPr>
          <w:lang w:val="en-US"/>
        </w:rPr>
        <w:t xml:space="preserve"> pictorial representation of the proposed in-band and out-of-band regions is depicted in </w:t>
      </w:r>
      <w:r>
        <w:rPr>
          <w:lang w:val="en-US"/>
        </w:rPr>
        <w:fldChar w:fldCharType="begin"/>
      </w:r>
      <w:r>
        <w:rPr>
          <w:lang w:val="en-US"/>
        </w:rPr>
        <w:instrText xml:space="preserve"> REF _Ref498531128 \h </w:instrText>
      </w:r>
      <w:r>
        <w:rPr>
          <w:lang w:val="en-US"/>
        </w:rPr>
      </w:r>
      <w:r>
        <w:rPr>
          <w:lang w:val="en-US"/>
        </w:rPr>
        <w:fldChar w:fldCharType="separate"/>
      </w:r>
      <w:r w:rsidR="004D2532">
        <w:t xml:space="preserve">Figure </w:t>
      </w:r>
      <w:r w:rsidR="004D2532">
        <w:rPr>
          <w:noProof/>
        </w:rPr>
        <w:t>1</w:t>
      </w:r>
      <w:r>
        <w:rPr>
          <w:lang w:val="en-US"/>
        </w:rPr>
        <w:fldChar w:fldCharType="end"/>
      </w:r>
      <w:r>
        <w:rPr>
          <w:lang w:val="en-US"/>
        </w:rPr>
        <w:t>.</w:t>
      </w:r>
    </w:p>
    <w:p w:rsidR="003F1D92" w:rsidRDefault="003F1D92" w:rsidP="003F1D92">
      <w:pPr>
        <w:jc w:val="both"/>
        <w:rPr>
          <w:lang w:val="en-US"/>
        </w:rPr>
      </w:pPr>
      <w:r>
        <w:rPr>
          <w:lang w:val="en-US"/>
        </w:rPr>
        <w:t xml:space="preserve">In case of intra-band carrier aggregation, our proposal is to define in-band requirements based on aggregated channel BW for the contiguous case, while for the </w:t>
      </w:r>
      <w:proofErr w:type="spellStart"/>
      <w:r>
        <w:rPr>
          <w:lang w:val="en-US"/>
        </w:rPr>
        <w:t>non contiguous</w:t>
      </w:r>
      <w:proofErr w:type="spellEnd"/>
      <w:r>
        <w:rPr>
          <w:lang w:val="en-US"/>
        </w:rPr>
        <w:t xml:space="preserve"> case requirements are based on the largest channel BW among component carriers:</w:t>
      </w:r>
    </w:p>
    <w:p w:rsidR="003F1D92" w:rsidRDefault="003F1D92" w:rsidP="003F1D92">
      <w:pPr>
        <w:jc w:val="both"/>
        <w:rPr>
          <w:b/>
          <w:i/>
          <w:lang w:val="en-US"/>
        </w:rPr>
      </w:pPr>
      <w:r>
        <w:rPr>
          <w:b/>
          <w:i/>
          <w:lang w:val="en-US"/>
        </w:rPr>
        <w:t>Proposal 2</w:t>
      </w:r>
      <w:r w:rsidRPr="00071365">
        <w:rPr>
          <w:b/>
          <w:i/>
          <w:lang w:val="en-US"/>
        </w:rPr>
        <w:t>:</w:t>
      </w:r>
      <w:r>
        <w:rPr>
          <w:b/>
          <w:i/>
          <w:lang w:val="en-US"/>
        </w:rPr>
        <w:t xml:space="preserve"> for intra-band contiguous CA NR in Range 2, </w:t>
      </w:r>
      <w:r w:rsidR="004D2532">
        <w:rPr>
          <w:b/>
          <w:i/>
          <w:lang w:val="en-US"/>
        </w:rPr>
        <w:t>OOBB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w:t>
      </w:r>
      <w:r w:rsidRPr="003F1D92">
        <w:rPr>
          <w:b/>
          <w:i/>
          <w:vertAlign w:val="subscript"/>
          <w:lang w:val="en-US"/>
        </w:rPr>
        <w:t>agg</w:t>
      </w:r>
      <w:r w:rsidRPr="003F1D92">
        <w:rPr>
          <w:b/>
          <w:i/>
          <w:lang w:val="en-US"/>
        </w:rPr>
        <w:t xml:space="preserve">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sidRPr="003F1D92">
        <w:rPr>
          <w:b/>
          <w:i/>
          <w:vertAlign w:val="subscript"/>
          <w:lang w:val="en-US"/>
        </w:rPr>
        <w:t>agg</w:t>
      </w:r>
      <w:r>
        <w:rPr>
          <w:b/>
          <w:i/>
          <w:lang w:val="en-US"/>
        </w:rPr>
        <w:t xml:space="preserve">, where </w:t>
      </w:r>
      <w:proofErr w:type="spellStart"/>
      <w:r w:rsidRPr="003F1D92">
        <w:rPr>
          <w:b/>
          <w:i/>
          <w:lang w:val="en-US"/>
        </w:rPr>
        <w:t>BW</w:t>
      </w:r>
      <w:r w:rsidRPr="003F1D92">
        <w:rPr>
          <w:b/>
          <w:i/>
          <w:vertAlign w:val="subscript"/>
          <w:lang w:val="en-US"/>
        </w:rPr>
        <w:t>agg</w:t>
      </w:r>
      <w:proofErr w:type="spellEnd"/>
      <w:r>
        <w:rPr>
          <w:b/>
          <w:i/>
          <w:lang w:val="en-US"/>
        </w:rPr>
        <w:t xml:space="preserve"> is the aggregated channel BW.</w:t>
      </w:r>
    </w:p>
    <w:p w:rsidR="003F1D92" w:rsidRDefault="003F1D92" w:rsidP="003F1D92">
      <w:pPr>
        <w:jc w:val="both"/>
        <w:rPr>
          <w:b/>
          <w:i/>
          <w:lang w:val="en-US"/>
        </w:rPr>
      </w:pPr>
      <w:r>
        <w:rPr>
          <w:b/>
          <w:i/>
          <w:lang w:val="en-US"/>
        </w:rPr>
        <w:t xml:space="preserve">Proposal </w:t>
      </w:r>
      <w:r w:rsidR="00D86250">
        <w:rPr>
          <w:b/>
          <w:i/>
          <w:lang w:val="en-US"/>
        </w:rPr>
        <w:t>3</w:t>
      </w:r>
      <w:r w:rsidRPr="00071365">
        <w:rPr>
          <w:b/>
          <w:i/>
          <w:lang w:val="en-US"/>
        </w:rPr>
        <w:t>:</w:t>
      </w:r>
      <w:r>
        <w:rPr>
          <w:b/>
          <w:i/>
          <w:lang w:val="en-US"/>
        </w:rPr>
        <w:t xml:space="preserve"> for intra-band </w:t>
      </w:r>
      <w:r w:rsidR="0027020A">
        <w:rPr>
          <w:b/>
          <w:i/>
          <w:lang w:val="en-US"/>
        </w:rPr>
        <w:t>non-</w:t>
      </w:r>
      <w:r>
        <w:rPr>
          <w:b/>
          <w:i/>
          <w:lang w:val="en-US"/>
        </w:rPr>
        <w:t xml:space="preserve">contiguous CA NR in Range 2, </w:t>
      </w:r>
      <w:r w:rsidR="004D2532">
        <w:rPr>
          <w:b/>
          <w:i/>
          <w:lang w:val="en-US"/>
        </w:rPr>
        <w:t>OOBB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w:t>
      </w:r>
      <w:r w:rsidR="0027020A">
        <w:rPr>
          <w:b/>
          <w:i/>
          <w:vertAlign w:val="subscript"/>
          <w:lang w:val="en-US"/>
        </w:rPr>
        <w:t>max</w:t>
      </w:r>
      <w:r w:rsidRPr="003F1D92">
        <w:rPr>
          <w:b/>
          <w:i/>
          <w:lang w:val="en-US"/>
        </w:rPr>
        <w:t xml:space="preserve">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sidR="0027020A">
        <w:rPr>
          <w:b/>
          <w:i/>
          <w:vertAlign w:val="subscript"/>
          <w:lang w:val="en-US"/>
        </w:rPr>
        <w:t>max</w:t>
      </w:r>
      <w:r>
        <w:rPr>
          <w:b/>
          <w:i/>
          <w:lang w:val="en-US"/>
        </w:rPr>
        <w:t xml:space="preserve">, where </w:t>
      </w:r>
      <w:proofErr w:type="spellStart"/>
      <w:r w:rsidRPr="003F1D92">
        <w:rPr>
          <w:b/>
          <w:i/>
          <w:lang w:val="en-US"/>
        </w:rPr>
        <w:t>BW</w:t>
      </w:r>
      <w:r w:rsidR="0027020A">
        <w:rPr>
          <w:b/>
          <w:i/>
          <w:vertAlign w:val="subscript"/>
          <w:lang w:val="en-US"/>
        </w:rPr>
        <w:t>max</w:t>
      </w:r>
      <w:proofErr w:type="spellEnd"/>
      <w:r>
        <w:rPr>
          <w:b/>
          <w:i/>
          <w:lang w:val="en-US"/>
        </w:rPr>
        <w:t xml:space="preserve"> is the </w:t>
      </w:r>
      <w:r w:rsidR="0027020A">
        <w:rPr>
          <w:b/>
          <w:i/>
          <w:lang w:val="en-US"/>
        </w:rPr>
        <w:t>largest</w:t>
      </w:r>
      <w:r>
        <w:rPr>
          <w:b/>
          <w:i/>
          <w:lang w:val="en-US"/>
        </w:rPr>
        <w:t xml:space="preserve"> channel BW</w:t>
      </w:r>
      <w:r w:rsidR="0027020A">
        <w:rPr>
          <w:b/>
          <w:i/>
          <w:lang w:val="en-US"/>
        </w:rPr>
        <w:t xml:space="preserve"> across the component carriers</w:t>
      </w:r>
      <w:r>
        <w:rPr>
          <w:b/>
          <w:i/>
          <w:lang w:val="en-US"/>
        </w:rPr>
        <w:t>.</w:t>
      </w:r>
    </w:p>
    <w:p w:rsidR="0027020A" w:rsidRPr="0027020A" w:rsidRDefault="0027020A" w:rsidP="003F1D92">
      <w:pPr>
        <w:jc w:val="both"/>
        <w:rPr>
          <w:lang w:val="en-US"/>
        </w:rPr>
      </w:pPr>
      <w:r w:rsidRPr="0027020A">
        <w:rPr>
          <w:lang w:val="en-US"/>
        </w:rPr>
        <w:t>Fina</w:t>
      </w:r>
      <w:r>
        <w:rPr>
          <w:lang w:val="en-US"/>
        </w:rPr>
        <w:t xml:space="preserve">lly, for the </w:t>
      </w:r>
      <w:r w:rsidR="008A7236">
        <w:rPr>
          <w:lang w:val="en-US"/>
        </w:rPr>
        <w:t>case inter-band carrier aggregation the single carrier requirement will apply.</w:t>
      </w:r>
    </w:p>
    <w:p w:rsidR="008A7236" w:rsidRDefault="008A7236" w:rsidP="008A7236">
      <w:pPr>
        <w:jc w:val="both"/>
        <w:rPr>
          <w:b/>
          <w:i/>
          <w:lang w:val="en-US"/>
        </w:rPr>
      </w:pPr>
      <w:r w:rsidRPr="00071365">
        <w:rPr>
          <w:b/>
          <w:i/>
          <w:lang w:val="en-US"/>
        </w:rPr>
        <w:lastRenderedPageBreak/>
        <w:t xml:space="preserve">Proposal </w:t>
      </w:r>
      <w:r w:rsidR="00D86250">
        <w:rPr>
          <w:b/>
          <w:i/>
          <w:lang w:val="en-US"/>
        </w:rPr>
        <w:t>4</w:t>
      </w:r>
      <w:r w:rsidRPr="00071365">
        <w:rPr>
          <w:b/>
          <w:i/>
          <w:lang w:val="en-US"/>
        </w:rPr>
        <w:t>:</w:t>
      </w:r>
      <w:r>
        <w:rPr>
          <w:b/>
          <w:i/>
          <w:lang w:val="en-US"/>
        </w:rPr>
        <w:t xml:space="preserve"> for </w:t>
      </w:r>
      <w:r w:rsidR="00774E94">
        <w:rPr>
          <w:b/>
          <w:i/>
          <w:lang w:val="en-US"/>
        </w:rPr>
        <w:t>inter-band CA</w:t>
      </w:r>
      <w:r>
        <w:rPr>
          <w:b/>
          <w:i/>
          <w:lang w:val="en-US"/>
        </w:rPr>
        <w:t xml:space="preserve"> NR in Range 2, </w:t>
      </w:r>
      <w:r w:rsidR="004D2532">
        <w:rPr>
          <w:b/>
          <w:i/>
          <w:lang w:val="en-US"/>
        </w:rPr>
        <w:t>OOBB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sidR="00774E94">
        <w:rPr>
          <w:b/>
          <w:i/>
          <w:lang w:val="en-US"/>
        </w:rPr>
        <w:t xml:space="preserve"> and apply to each component carrier.</w:t>
      </w:r>
    </w:p>
    <w:p w:rsidR="003F1D92" w:rsidRPr="003F1D92" w:rsidRDefault="003F1D92" w:rsidP="003F1D92">
      <w:pPr>
        <w:jc w:val="both"/>
        <w:rPr>
          <w:lang w:val="en-US"/>
        </w:rPr>
      </w:pPr>
    </w:p>
    <w:p w:rsidR="00071365" w:rsidRDefault="00071365" w:rsidP="00071365">
      <w:pPr>
        <w:rPr>
          <w:b/>
          <w:i/>
          <w:lang w:val="en-US"/>
        </w:rPr>
      </w:pPr>
    </w:p>
    <w:p w:rsidR="00DC67A3" w:rsidRDefault="00DC67A3" w:rsidP="00DC67A3">
      <w:pPr>
        <w:keepNext/>
      </w:pPr>
      <w:r>
        <w:rPr>
          <w:b/>
          <w:i/>
          <w:noProof/>
          <w:lang w:val="en-US"/>
        </w:rPr>
        <w:drawing>
          <wp:inline distT="0" distB="0" distL="0" distR="0" wp14:anchorId="75902977" wp14:editId="1BA701FC">
            <wp:extent cx="6111377" cy="1973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2375" cy="1980361"/>
                    </a:xfrm>
                    <a:prstGeom prst="rect">
                      <a:avLst/>
                    </a:prstGeom>
                    <a:noFill/>
                  </pic:spPr>
                </pic:pic>
              </a:graphicData>
            </a:graphic>
          </wp:inline>
        </w:drawing>
      </w:r>
    </w:p>
    <w:p w:rsidR="00DC67A3" w:rsidRDefault="00DC67A3" w:rsidP="00DC67A3">
      <w:pPr>
        <w:pStyle w:val="Caption"/>
        <w:jc w:val="center"/>
      </w:pPr>
      <w:bookmarkStart w:id="1" w:name="_Ref498531128"/>
      <w:r>
        <w:t xml:space="preserve">Figure </w:t>
      </w:r>
      <w:r>
        <w:fldChar w:fldCharType="begin"/>
      </w:r>
      <w:r>
        <w:instrText xml:space="preserve"> SEQ Figure \* ARABIC </w:instrText>
      </w:r>
      <w:r>
        <w:fldChar w:fldCharType="separate"/>
      </w:r>
      <w:r w:rsidR="004D2532">
        <w:rPr>
          <w:noProof/>
        </w:rPr>
        <w:t>1</w:t>
      </w:r>
      <w:r>
        <w:fldChar w:fldCharType="end"/>
      </w:r>
      <w:bookmarkEnd w:id="1"/>
      <w:r>
        <w:t xml:space="preserve">. Frequency regions for </w:t>
      </w:r>
      <w:r w:rsidR="00BB0668">
        <w:t>i</w:t>
      </w:r>
      <w:r>
        <w:t>n-band and out-of-band requirements.</w:t>
      </w:r>
    </w:p>
    <w:p w:rsidR="00DC67A3" w:rsidRPr="00071365" w:rsidRDefault="00DC67A3" w:rsidP="00DC67A3">
      <w:pPr>
        <w:pStyle w:val="Caption"/>
        <w:rPr>
          <w:b w:val="0"/>
          <w:i/>
          <w:lang w:val="en-US"/>
        </w:rPr>
      </w:pPr>
    </w:p>
    <w:p w:rsidR="00774E94" w:rsidRDefault="004D2532" w:rsidP="00774E94">
      <w:pPr>
        <w:pStyle w:val="Heading2"/>
        <w:rPr>
          <w:lang w:val="en-US"/>
        </w:rPr>
      </w:pPr>
      <w:r>
        <w:rPr>
          <w:lang w:val="en-US"/>
        </w:rPr>
        <w:t>OOBB</w:t>
      </w:r>
      <w:r w:rsidR="00774E94">
        <w:rPr>
          <w:lang w:val="en-US"/>
        </w:rPr>
        <w:t xml:space="preserve"> requirement: jammer level</w:t>
      </w:r>
    </w:p>
    <w:p w:rsidR="000B36FC" w:rsidRDefault="00D86250" w:rsidP="00EB6B98">
      <w:pPr>
        <w:jc w:val="both"/>
        <w:rPr>
          <w:lang w:val="en-US"/>
        </w:rPr>
      </w:pPr>
      <w:r>
        <w:rPr>
          <w:lang w:val="en-US"/>
        </w:rPr>
        <w:t xml:space="preserve">In this section, we try to identify the most relevant systems which could cause blocking issues to NR UEs. </w:t>
      </w:r>
      <w:r w:rsidR="00002592">
        <w:rPr>
          <w:lang w:val="en-US"/>
        </w:rPr>
        <w:t xml:space="preserve">The </w:t>
      </w:r>
      <w:r w:rsidR="004D2532">
        <w:rPr>
          <w:lang w:val="en-US"/>
        </w:rPr>
        <w:t>OOBB</w:t>
      </w:r>
      <w:r w:rsidR="00002592">
        <w:rPr>
          <w:lang w:val="en-US"/>
        </w:rPr>
        <w:t xml:space="preserve"> requirement definition was discussed in</w:t>
      </w:r>
      <w:r w:rsidR="00237DC6">
        <w:rPr>
          <w:lang w:val="en-US"/>
        </w:rPr>
        <w:t xml:space="preserve"> </w:t>
      </w:r>
      <w:r w:rsidR="00237DC6">
        <w:rPr>
          <w:lang w:val="en-US"/>
        </w:rPr>
        <w:fldChar w:fldCharType="begin"/>
      </w:r>
      <w:r w:rsidR="00237DC6">
        <w:rPr>
          <w:lang w:val="en-US"/>
        </w:rPr>
        <w:instrText xml:space="preserve"> REF _Ref498719657 \r \h </w:instrText>
      </w:r>
      <w:r w:rsidR="00237DC6">
        <w:rPr>
          <w:lang w:val="en-US"/>
        </w:rPr>
      </w:r>
      <w:r w:rsidR="00237DC6">
        <w:rPr>
          <w:lang w:val="en-US"/>
        </w:rPr>
        <w:fldChar w:fldCharType="separate"/>
      </w:r>
      <w:r w:rsidR="00237DC6">
        <w:rPr>
          <w:lang w:val="en-US"/>
        </w:rPr>
        <w:t>[6]</w:t>
      </w:r>
      <w:r w:rsidR="00237DC6">
        <w:rPr>
          <w:lang w:val="en-US"/>
        </w:rPr>
        <w:fldChar w:fldCharType="end"/>
      </w:r>
      <w:r w:rsidR="00002592">
        <w:rPr>
          <w:lang w:val="en-US"/>
        </w:rPr>
        <w:fldChar w:fldCharType="begin"/>
      </w:r>
      <w:r w:rsidR="00002592">
        <w:rPr>
          <w:lang w:val="en-US"/>
        </w:rPr>
        <w:instrText xml:space="preserve"> REF _Ref498690907 \r \h </w:instrText>
      </w:r>
      <w:r w:rsidR="00EB6B98">
        <w:rPr>
          <w:lang w:val="en-US"/>
        </w:rPr>
        <w:instrText xml:space="preserve"> \* MERGEFORMAT </w:instrText>
      </w:r>
      <w:r w:rsidR="00002592">
        <w:rPr>
          <w:lang w:val="en-US"/>
        </w:rPr>
      </w:r>
      <w:r w:rsidR="00002592">
        <w:rPr>
          <w:lang w:val="en-US"/>
        </w:rPr>
        <w:fldChar w:fldCharType="separate"/>
      </w:r>
      <w:r w:rsidR="004D2532">
        <w:rPr>
          <w:lang w:val="en-US"/>
        </w:rPr>
        <w:t>[7]</w:t>
      </w:r>
      <w:r w:rsidR="00002592">
        <w:rPr>
          <w:lang w:val="en-US"/>
        </w:rPr>
        <w:fldChar w:fldCharType="end"/>
      </w:r>
      <w:r w:rsidR="00002592">
        <w:rPr>
          <w:lang w:val="en-US"/>
        </w:rPr>
        <w:fldChar w:fldCharType="begin"/>
      </w:r>
      <w:r w:rsidR="00002592">
        <w:rPr>
          <w:lang w:val="en-US"/>
        </w:rPr>
        <w:instrText xml:space="preserve"> REF _Ref498690908 \r \h </w:instrText>
      </w:r>
      <w:r w:rsidR="00EB6B98">
        <w:rPr>
          <w:lang w:val="en-US"/>
        </w:rPr>
        <w:instrText xml:space="preserve"> \* MERGEFORMAT </w:instrText>
      </w:r>
      <w:r w:rsidR="00002592">
        <w:rPr>
          <w:lang w:val="en-US"/>
        </w:rPr>
      </w:r>
      <w:r w:rsidR="00002592">
        <w:rPr>
          <w:lang w:val="en-US"/>
        </w:rPr>
        <w:fldChar w:fldCharType="separate"/>
      </w:r>
      <w:r w:rsidR="004D2532">
        <w:rPr>
          <w:lang w:val="en-US"/>
        </w:rPr>
        <w:t>[8]</w:t>
      </w:r>
      <w:r w:rsidR="00002592">
        <w:rPr>
          <w:lang w:val="en-US"/>
        </w:rPr>
        <w:fldChar w:fldCharType="end"/>
      </w:r>
      <w:r w:rsidR="00002592">
        <w:rPr>
          <w:lang w:val="en-US"/>
        </w:rPr>
        <w:t xml:space="preserve"> but with no concrete proposals</w:t>
      </w:r>
      <w:r w:rsidR="00EB6B98">
        <w:rPr>
          <w:lang w:val="en-US"/>
        </w:rPr>
        <w:t xml:space="preserve">. List of blockers in different regions were also presented in </w:t>
      </w:r>
      <w:r w:rsidR="00EB6B98">
        <w:rPr>
          <w:lang w:val="en-US"/>
        </w:rPr>
        <w:fldChar w:fldCharType="begin"/>
      </w:r>
      <w:r w:rsidR="00EB6B98">
        <w:rPr>
          <w:lang w:val="en-US"/>
        </w:rPr>
        <w:instrText xml:space="preserve"> REF _Ref498692143 \r \h </w:instrText>
      </w:r>
      <w:r w:rsidR="00EB6B98">
        <w:rPr>
          <w:lang w:val="en-US"/>
        </w:rPr>
      </w:r>
      <w:r w:rsidR="00EB6B98">
        <w:rPr>
          <w:lang w:val="en-US"/>
        </w:rPr>
        <w:fldChar w:fldCharType="separate"/>
      </w:r>
      <w:r w:rsidR="004D2532">
        <w:rPr>
          <w:lang w:val="en-US"/>
        </w:rPr>
        <w:t>[9]</w:t>
      </w:r>
      <w:r w:rsidR="00EB6B98">
        <w:rPr>
          <w:lang w:val="en-US"/>
        </w:rPr>
        <w:fldChar w:fldCharType="end"/>
      </w:r>
      <w:r w:rsidR="00EB6B98">
        <w:rPr>
          <w:lang w:val="en-US"/>
        </w:rPr>
        <w:fldChar w:fldCharType="begin"/>
      </w:r>
      <w:r w:rsidR="00EB6B98">
        <w:rPr>
          <w:lang w:val="en-US"/>
        </w:rPr>
        <w:instrText xml:space="preserve"> REF _Ref498692146 \r \h </w:instrText>
      </w:r>
      <w:r w:rsidR="00EB6B98">
        <w:rPr>
          <w:lang w:val="en-US"/>
        </w:rPr>
      </w:r>
      <w:r w:rsidR="00EB6B98">
        <w:rPr>
          <w:lang w:val="en-US"/>
        </w:rPr>
        <w:fldChar w:fldCharType="separate"/>
      </w:r>
      <w:r w:rsidR="004D2532">
        <w:rPr>
          <w:lang w:val="en-US"/>
        </w:rPr>
        <w:t>[10]</w:t>
      </w:r>
      <w:r w:rsidR="00EB6B98">
        <w:rPr>
          <w:lang w:val="en-US"/>
        </w:rPr>
        <w:fldChar w:fldCharType="end"/>
      </w:r>
      <w:r w:rsidR="00002592">
        <w:rPr>
          <w:lang w:val="en-US"/>
        </w:rPr>
        <w:t xml:space="preserve"> </w:t>
      </w:r>
      <w:r w:rsidR="000B36FC">
        <w:rPr>
          <w:lang w:val="en-US"/>
        </w:rPr>
        <w:t>without specifying what could be the associated requirement.</w:t>
      </w:r>
    </w:p>
    <w:p w:rsidR="009545B4" w:rsidRDefault="000B36FC" w:rsidP="00EB6B98">
      <w:pPr>
        <w:jc w:val="both"/>
      </w:pPr>
      <w:r>
        <w:rPr>
          <w:lang w:val="en-US"/>
        </w:rPr>
        <w:t>Based on a review of all the potential blockers operating in mmW bands, and considering commercial systems deployed, we believe that the most common type of jammers which could impact NR operating in mmW are fixed wireless systems</w:t>
      </w:r>
      <w:r w:rsidR="00D40E0B">
        <w:rPr>
          <w:lang w:val="en-US"/>
        </w:rPr>
        <w:t xml:space="preserve"> (FS) and fixed satellite services (FSS).</w:t>
      </w:r>
      <w:r>
        <w:t xml:space="preserve"> </w:t>
      </w:r>
      <w:r w:rsidR="00D40E0B">
        <w:t xml:space="preserve">Problems related to earth-to space stations (i.e. UL satellite links) could be avoided, if any, based on an exclusion region close to the station, therefore they will </w:t>
      </w:r>
      <w:r w:rsidR="00BB0668">
        <w:t xml:space="preserve">not </w:t>
      </w:r>
      <w:r w:rsidR="00D40E0B">
        <w:t>be analysed in the following and we will only focus on fixed services.</w:t>
      </w:r>
    </w:p>
    <w:p w:rsidR="00D40E0B" w:rsidRDefault="00D40E0B" w:rsidP="00EB6B98">
      <w:pPr>
        <w:jc w:val="both"/>
      </w:pPr>
      <w:r>
        <w:t xml:space="preserve">There are several systems deployed in different bands and in different regions. </w:t>
      </w:r>
      <w:r w:rsidR="00BB51CB">
        <w:t>Having</w:t>
      </w:r>
      <w:r>
        <w:t xml:space="preserve"> a comprehensive analysis looking at all possible systems is not possible and out of the scope of this document. As a consequence, we will focus on</w:t>
      </w:r>
      <w:r>
        <w:rPr>
          <w:lang w:val="en-US"/>
        </w:rPr>
        <w:t xml:space="preserve"> </w:t>
      </w:r>
      <w:r w:rsidRPr="000B36FC">
        <w:t xml:space="preserve">Local Multipoint Distribution Service </w:t>
      </w:r>
      <w:r>
        <w:t>(LMDS</w:t>
      </w:r>
      <w:r w:rsidRPr="000B36FC">
        <w:t>) point-to-point fixed</w:t>
      </w:r>
      <w:r>
        <w:t xml:space="preserve"> systems, which are commonly deployed and could represent a typical blocking scenario.</w:t>
      </w:r>
      <w:r w:rsidR="0094765C">
        <w:t xml:space="preserve"> As a study </w:t>
      </w:r>
      <w:proofErr w:type="gramStart"/>
      <w:r w:rsidR="0094765C">
        <w:t>case</w:t>
      </w:r>
      <w:proofErr w:type="gramEnd"/>
      <w:r w:rsidR="0094765C">
        <w:t xml:space="preserve"> we will consider parameters obtained based on European national data base analysis of point to multi-point (P-MP) systems provide</w:t>
      </w:r>
      <w:r w:rsidR="005D50DD">
        <w:t>d</w:t>
      </w:r>
      <w:r w:rsidR="002B2990">
        <w:t xml:space="preserve"> </w:t>
      </w:r>
      <w:r w:rsidR="005D50DD">
        <w:t>in</w:t>
      </w:r>
      <w:r w:rsidR="0094765C">
        <w:t xml:space="preserve"> </w:t>
      </w:r>
      <w:r w:rsidR="0094765C">
        <w:fldChar w:fldCharType="begin"/>
      </w:r>
      <w:r w:rsidR="0094765C">
        <w:instrText xml:space="preserve"> REF _Ref498693551 \r \h </w:instrText>
      </w:r>
      <w:r w:rsidR="0094765C">
        <w:fldChar w:fldCharType="separate"/>
      </w:r>
      <w:r w:rsidR="004D2532">
        <w:t>[11]</w:t>
      </w:r>
      <w:r w:rsidR="0094765C">
        <w:fldChar w:fldCharType="end"/>
      </w:r>
      <w:r w:rsidR="0094765C">
        <w:t xml:space="preserve">. </w:t>
      </w:r>
      <w:r w:rsidR="0094765C">
        <w:fldChar w:fldCharType="begin"/>
      </w:r>
      <w:r w:rsidR="0094765C">
        <w:instrText xml:space="preserve"> REF _Ref498693708 \h </w:instrText>
      </w:r>
      <w:r w:rsidR="0094765C">
        <w:fldChar w:fldCharType="separate"/>
      </w:r>
      <w:r w:rsidR="004D2532">
        <w:t xml:space="preserve">Table </w:t>
      </w:r>
      <w:r w:rsidR="004D2532">
        <w:rPr>
          <w:noProof/>
        </w:rPr>
        <w:t>1</w:t>
      </w:r>
      <w:r w:rsidR="0094765C">
        <w:fldChar w:fldCharType="end"/>
      </w:r>
      <w:r w:rsidR="0094765C">
        <w:t xml:space="preserve"> summarize</w:t>
      </w:r>
      <w:r w:rsidR="002B2990">
        <w:t>s</w:t>
      </w:r>
      <w:r w:rsidR="0094765C">
        <w:t xml:space="preserve"> the main characteristics of these P-MP links operating in 24.5-26.5GHz. It is worth noticing that although the table is specific to </w:t>
      </w:r>
      <w:r w:rsidR="000B215A">
        <w:t>24GHz-26GHz</w:t>
      </w:r>
      <w:r w:rsidR="00F23D65">
        <w:t>, similar systems operates in different mmW bands</w:t>
      </w:r>
      <w:r w:rsidR="0094765C">
        <w:t xml:space="preserve"> </w:t>
      </w:r>
      <w:r w:rsidR="00F23D65">
        <w:fldChar w:fldCharType="begin"/>
      </w:r>
      <w:r w:rsidR="00F23D65">
        <w:instrText xml:space="preserve"> REF _Ref498696983 \r \h </w:instrText>
      </w:r>
      <w:r w:rsidR="00F23D65">
        <w:fldChar w:fldCharType="separate"/>
      </w:r>
      <w:r w:rsidR="004D2532">
        <w:t>[12]</w:t>
      </w:r>
      <w:r w:rsidR="00F23D65">
        <w:fldChar w:fldCharType="end"/>
      </w:r>
      <w:r w:rsidR="00F23D65">
        <w:fldChar w:fldCharType="begin"/>
      </w:r>
      <w:r w:rsidR="00F23D65">
        <w:instrText xml:space="preserve"> REF _Ref498696985 \r \h </w:instrText>
      </w:r>
      <w:r w:rsidR="00F23D65">
        <w:fldChar w:fldCharType="separate"/>
      </w:r>
      <w:r w:rsidR="004D2532">
        <w:t>[13]</w:t>
      </w:r>
      <w:r w:rsidR="00F23D65">
        <w:fldChar w:fldCharType="end"/>
      </w:r>
      <w:r w:rsidR="00F23D65">
        <w:t>, therefore this represents a good reference point to determine a possible OOB blocking requirement.</w:t>
      </w:r>
      <w:r w:rsidR="0082382A">
        <w:t xml:space="preserve"> An example of antenna diagram for 0.6m antenna diameter is shown in </w:t>
      </w:r>
      <w:r w:rsidR="0082382A">
        <w:fldChar w:fldCharType="begin"/>
      </w:r>
      <w:r w:rsidR="0082382A">
        <w:instrText xml:space="preserve"> REF _Ref498697955 \h </w:instrText>
      </w:r>
      <w:r w:rsidR="0082382A">
        <w:fldChar w:fldCharType="separate"/>
      </w:r>
      <w:r w:rsidR="004D2532">
        <w:t xml:space="preserve">Figure </w:t>
      </w:r>
      <w:r w:rsidR="004D2532">
        <w:rPr>
          <w:noProof/>
        </w:rPr>
        <w:t>2</w:t>
      </w:r>
      <w:r w:rsidR="0082382A">
        <w:fldChar w:fldCharType="end"/>
      </w:r>
      <w:r w:rsidR="0082382A">
        <w:t xml:space="preserve">. The diagrams are taken from </w:t>
      </w:r>
      <w:r w:rsidR="0082382A">
        <w:fldChar w:fldCharType="begin"/>
      </w:r>
      <w:r w:rsidR="0082382A">
        <w:instrText xml:space="preserve"> REF _Ref498697877 \r \h </w:instrText>
      </w:r>
      <w:r w:rsidR="0082382A">
        <w:fldChar w:fldCharType="separate"/>
      </w:r>
      <w:r w:rsidR="004D2532">
        <w:t>[14]</w:t>
      </w:r>
      <w:r w:rsidR="0082382A">
        <w:fldChar w:fldCharType="end"/>
      </w:r>
      <w:r w:rsidR="0082382A">
        <w:t xml:space="preserve"> and based on ITU-R </w:t>
      </w:r>
      <w:proofErr w:type="gramStart"/>
      <w:r w:rsidR="0082382A">
        <w:t>recommendation</w:t>
      </w:r>
      <w:proofErr w:type="gramEnd"/>
      <w:r w:rsidR="0082382A">
        <w:t xml:space="preserve"> </w:t>
      </w:r>
      <w:r w:rsidR="0082382A" w:rsidRPr="008744CC">
        <w:t>F.699-7</w:t>
      </w:r>
      <w:r w:rsidR="0082382A">
        <w:t xml:space="preserve"> </w:t>
      </w:r>
      <w:r w:rsidR="0082382A">
        <w:fldChar w:fldCharType="begin"/>
      </w:r>
      <w:r w:rsidR="0082382A">
        <w:instrText xml:space="preserve"> REF _Ref498698198 \r \h </w:instrText>
      </w:r>
      <w:r w:rsidR="0082382A">
        <w:fldChar w:fldCharType="separate"/>
      </w:r>
      <w:r w:rsidR="004D2532">
        <w:t>[15]</w:t>
      </w:r>
      <w:r w:rsidR="0082382A">
        <w:fldChar w:fldCharType="end"/>
      </w:r>
      <w:r w:rsidR="0082382A">
        <w:t>.</w:t>
      </w:r>
    </w:p>
    <w:p w:rsidR="0082382A" w:rsidRDefault="00F23D65" w:rsidP="00EB6B98">
      <w:pPr>
        <w:jc w:val="both"/>
      </w:pPr>
      <w:r>
        <w:t>From the table, we can see that the peak EIRP available is 40dBW=70dB</w:t>
      </w:r>
      <w:r w:rsidR="0082382A">
        <w:t>m</w:t>
      </w:r>
      <w:r>
        <w:t xml:space="preserve">. </w:t>
      </w:r>
      <w:r w:rsidR="0082382A">
        <w:t xml:space="preserve">An important factor is the antenna </w:t>
      </w:r>
      <w:r>
        <w:t xml:space="preserve">discrimination at a given </w:t>
      </w:r>
      <w:r w:rsidR="0082382A">
        <w:t xml:space="preserve">off </w:t>
      </w:r>
      <w:r>
        <w:t>angle</w:t>
      </w:r>
      <w:r w:rsidR="0082382A">
        <w:t xml:space="preserve"> compared to </w:t>
      </w:r>
      <w:r w:rsidR="004E53B8">
        <w:t>peak direction</w:t>
      </w:r>
      <w:r>
        <w:t>. Since these systems adopt single dishes, the gain is a function of the aperture (and therefore diameter of the dish) and no major secondary lobes typical of antenna arrays are present</w:t>
      </w:r>
      <w:r w:rsidR="0082382A">
        <w:t xml:space="preserve">, as it can be observed in </w:t>
      </w:r>
      <w:r w:rsidR="0082382A">
        <w:fldChar w:fldCharType="begin"/>
      </w:r>
      <w:r w:rsidR="0082382A">
        <w:instrText xml:space="preserve"> REF _Ref498697955 \h </w:instrText>
      </w:r>
      <w:r w:rsidR="0082382A">
        <w:fldChar w:fldCharType="separate"/>
      </w:r>
      <w:r w:rsidR="004D2532">
        <w:t xml:space="preserve">Figure </w:t>
      </w:r>
      <w:r w:rsidR="004D2532">
        <w:rPr>
          <w:noProof/>
        </w:rPr>
        <w:t>2</w:t>
      </w:r>
      <w:r w:rsidR="0082382A">
        <w:fldChar w:fldCharType="end"/>
      </w:r>
      <w:r>
        <w:t>.</w:t>
      </w:r>
      <w:r w:rsidR="0082382A">
        <w:t xml:space="preserve"> It is also worth noticing that at 20 degrees off-angle the antenna rejection is already larger than 40dB.</w:t>
      </w:r>
      <w:r w:rsidR="002D239E">
        <w:t xml:space="preserve"> </w:t>
      </w:r>
      <w:r w:rsidR="0082382A">
        <w:t>In summary, we have:</w:t>
      </w:r>
    </w:p>
    <w:p w:rsidR="0082382A" w:rsidRPr="0082382A" w:rsidRDefault="0082382A" w:rsidP="0082382A">
      <w:pPr>
        <w:pStyle w:val="ListParagraph"/>
        <w:numPr>
          <w:ilvl w:val="0"/>
          <w:numId w:val="38"/>
        </w:numPr>
        <w:jc w:val="both"/>
      </w:pPr>
      <w:r>
        <w:t>Peak EIRP =</w:t>
      </w:r>
      <w:r w:rsidRPr="0082382A">
        <w:t xml:space="preserve"> 70dBm</w:t>
      </w:r>
    </w:p>
    <w:p w:rsidR="00F23D65" w:rsidRDefault="0082382A" w:rsidP="0082382A">
      <w:pPr>
        <w:pStyle w:val="ListParagraph"/>
        <w:numPr>
          <w:ilvl w:val="0"/>
          <w:numId w:val="38"/>
        </w:numPr>
        <w:jc w:val="both"/>
      </w:pPr>
      <w:r>
        <w:t>Antenna gain reduction at</w:t>
      </w:r>
      <w:r w:rsidRPr="0082382A">
        <w:t xml:space="preserve"> 20-degrees </w:t>
      </w:r>
      <w:r>
        <w:t xml:space="preserve">compared to boresight </w:t>
      </w:r>
      <w:r w:rsidR="0072394B">
        <w:t>= 40dB</w:t>
      </w:r>
      <w:r w:rsidR="00F23D65">
        <w:t xml:space="preserve"> </w:t>
      </w:r>
    </w:p>
    <w:p w:rsidR="00F23D65" w:rsidRDefault="00F23D65" w:rsidP="00EB6B98">
      <w:pPr>
        <w:jc w:val="both"/>
      </w:pPr>
    </w:p>
    <w:p w:rsidR="0094765C" w:rsidRDefault="0094765C" w:rsidP="0094765C">
      <w:pPr>
        <w:pStyle w:val="Caption"/>
        <w:keepNext/>
      </w:pPr>
      <w:bookmarkStart w:id="2" w:name="_Ref498693708"/>
      <w:r>
        <w:lastRenderedPageBreak/>
        <w:t xml:space="preserve">Table </w:t>
      </w:r>
      <w:r>
        <w:fldChar w:fldCharType="begin"/>
      </w:r>
      <w:r>
        <w:instrText xml:space="preserve"> SEQ Table \* ARABIC </w:instrText>
      </w:r>
      <w:r>
        <w:fldChar w:fldCharType="separate"/>
      </w:r>
      <w:r w:rsidR="004D2532">
        <w:rPr>
          <w:noProof/>
        </w:rPr>
        <w:t>1</w:t>
      </w:r>
      <w:r>
        <w:fldChar w:fldCharType="end"/>
      </w:r>
      <w:bookmarkEnd w:id="2"/>
      <w:r>
        <w:t>.</w:t>
      </w:r>
      <w:r w:rsidRPr="0094765C">
        <w:t xml:space="preserve"> </w:t>
      </w:r>
      <w:r>
        <w:t>Characteristics of P-MP systems fixed service in the frequency band 26 GHz (24.5 – 26.5 GHz) [6]</w:t>
      </w:r>
    </w:p>
    <w:tbl>
      <w:tblPr>
        <w:tblStyle w:val="ECCTable-redheader"/>
        <w:tblW w:w="9666" w:type="dxa"/>
        <w:tblInd w:w="0" w:type="dxa"/>
        <w:tblLayout w:type="fixed"/>
        <w:tblLook w:val="01E0" w:firstRow="1" w:lastRow="1" w:firstColumn="1" w:lastColumn="1" w:noHBand="0" w:noVBand="0"/>
      </w:tblPr>
      <w:tblGrid>
        <w:gridCol w:w="3288"/>
        <w:gridCol w:w="2976"/>
        <w:gridCol w:w="3402"/>
      </w:tblGrid>
      <w:tr w:rsidR="0094765C" w:rsidRPr="00656D6B" w:rsidTr="00C96212">
        <w:trPr>
          <w:cnfStyle w:val="100000000000" w:firstRow="1" w:lastRow="0" w:firstColumn="0" w:lastColumn="0" w:oddVBand="0" w:evenVBand="0" w:oddHBand="0" w:evenHBand="0" w:firstRowFirstColumn="0" w:firstRowLastColumn="0" w:lastRowFirstColumn="0" w:lastRowLastColumn="0"/>
        </w:trPr>
        <w:tc>
          <w:tcPr>
            <w:tcW w:w="3288" w:type="dxa"/>
          </w:tcPr>
          <w:p w:rsidR="0094765C" w:rsidRPr="00656D6B" w:rsidRDefault="0094765C" w:rsidP="00C96212">
            <w:pPr>
              <w:pStyle w:val="ECCLetterHead"/>
              <w:rPr>
                <w:rFonts w:cs="Arial"/>
                <w:b/>
                <w:i w:val="0"/>
                <w:sz w:val="20"/>
              </w:rPr>
            </w:pPr>
            <w:r w:rsidRPr="00656D6B">
              <w:rPr>
                <w:rFonts w:cs="Arial"/>
                <w:b/>
                <w:i w:val="0"/>
                <w:sz w:val="20"/>
                <w:lang w:val="en-US"/>
              </w:rPr>
              <w:t>Frequency band</w:t>
            </w:r>
            <w:r w:rsidRPr="00656D6B">
              <w:rPr>
                <w:rFonts w:cs="Arial"/>
                <w:b/>
                <w:i w:val="0"/>
                <w:sz w:val="20"/>
              </w:rPr>
              <w:t xml:space="preserve"> (</w:t>
            </w:r>
            <w:r w:rsidRPr="00656D6B">
              <w:rPr>
                <w:rFonts w:cs="Arial"/>
                <w:b/>
                <w:i w:val="0"/>
                <w:sz w:val="20"/>
                <w:lang w:val="en-US"/>
              </w:rPr>
              <w:t>GHz</w:t>
            </w:r>
            <w:r w:rsidRPr="00656D6B">
              <w:rPr>
                <w:rFonts w:cs="Arial"/>
                <w:b/>
                <w:i w:val="0"/>
                <w:sz w:val="20"/>
              </w:rPr>
              <w:t>)</w:t>
            </w:r>
          </w:p>
        </w:tc>
        <w:tc>
          <w:tcPr>
            <w:tcW w:w="6378" w:type="dxa"/>
            <w:gridSpan w:val="2"/>
          </w:tcPr>
          <w:p w:rsidR="0094765C" w:rsidRPr="00656D6B" w:rsidRDefault="0094765C" w:rsidP="00C96212">
            <w:pPr>
              <w:pStyle w:val="ECCLetterHead"/>
              <w:rPr>
                <w:rFonts w:cs="Arial"/>
                <w:b/>
                <w:i w:val="0"/>
                <w:sz w:val="20"/>
              </w:rPr>
            </w:pPr>
            <w:r w:rsidRPr="00656D6B">
              <w:rPr>
                <w:rFonts w:cs="Arial"/>
                <w:b/>
                <w:i w:val="0"/>
                <w:sz w:val="20"/>
              </w:rPr>
              <w:t>24.5 – 26.5</w:t>
            </w:r>
          </w:p>
        </w:tc>
      </w:tr>
      <w:tr w:rsidR="0094765C" w:rsidRPr="00656D6B" w:rsidTr="00C96212">
        <w:tc>
          <w:tcPr>
            <w:tcW w:w="3288" w:type="dxa"/>
          </w:tcPr>
          <w:p w:rsidR="0094765C" w:rsidRPr="00656D6B" w:rsidRDefault="0094765C" w:rsidP="00C96212">
            <w:pPr>
              <w:pStyle w:val="Tablehead"/>
              <w:spacing w:before="50" w:after="50"/>
              <w:rPr>
                <w:rFonts w:ascii="Arial" w:hAnsi="Arial" w:cs="Arial"/>
                <w:sz w:val="20"/>
                <w:lang w:val="en-US" w:eastAsia="ja-JP"/>
              </w:rPr>
            </w:pPr>
            <w:r w:rsidRPr="00656D6B">
              <w:rPr>
                <w:rFonts w:ascii="Arial" w:hAnsi="Arial" w:cs="Arial"/>
                <w:sz w:val="20"/>
                <w:lang w:val="en-US" w:eastAsia="ja-JP"/>
              </w:rPr>
              <w:t>Station type</w:t>
            </w:r>
          </w:p>
        </w:tc>
        <w:tc>
          <w:tcPr>
            <w:tcW w:w="2976" w:type="dxa"/>
          </w:tcPr>
          <w:p w:rsidR="0094765C" w:rsidRPr="00656D6B" w:rsidRDefault="0094765C" w:rsidP="00C96212">
            <w:pPr>
              <w:pStyle w:val="Tablehead"/>
              <w:spacing w:before="50" w:after="50"/>
              <w:rPr>
                <w:rFonts w:ascii="Arial" w:hAnsi="Arial" w:cs="Arial"/>
                <w:sz w:val="20"/>
                <w:lang w:val="en-US" w:eastAsia="ja-JP"/>
              </w:rPr>
            </w:pPr>
            <w:r w:rsidRPr="00656D6B">
              <w:rPr>
                <w:rFonts w:ascii="Arial" w:hAnsi="Arial" w:cs="Arial"/>
                <w:sz w:val="20"/>
                <w:lang w:val="en-US" w:eastAsia="ja-JP"/>
              </w:rPr>
              <w:t>Central station</w:t>
            </w:r>
          </w:p>
        </w:tc>
        <w:tc>
          <w:tcPr>
            <w:tcW w:w="3402" w:type="dxa"/>
          </w:tcPr>
          <w:p w:rsidR="0094765C" w:rsidRPr="00656D6B" w:rsidRDefault="0094765C" w:rsidP="00C96212">
            <w:pPr>
              <w:pStyle w:val="Tablehead"/>
              <w:spacing w:before="50" w:after="50"/>
              <w:rPr>
                <w:rFonts w:ascii="Arial" w:hAnsi="Arial" w:cs="Arial"/>
                <w:sz w:val="20"/>
                <w:lang w:val="en-US" w:eastAsia="ja-JP"/>
              </w:rPr>
            </w:pPr>
            <w:r w:rsidRPr="00656D6B">
              <w:rPr>
                <w:rFonts w:ascii="Arial" w:hAnsi="Arial" w:cs="Arial"/>
                <w:sz w:val="20"/>
                <w:lang w:val="en-US" w:eastAsia="ja-JP"/>
              </w:rPr>
              <w:t>Terminal station</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Reference ITU-R Recommendation</w:t>
            </w:r>
          </w:p>
        </w:tc>
        <w:tc>
          <w:tcPr>
            <w:tcW w:w="6378" w:type="dxa"/>
            <w:gridSpan w:val="2"/>
          </w:tcPr>
          <w:p w:rsidR="0094765C" w:rsidRPr="00656D6B" w:rsidRDefault="0094765C" w:rsidP="00C96212">
            <w:pPr>
              <w:pStyle w:val="Tabletext1"/>
              <w:spacing w:before="20" w:after="20" w:line="240" w:lineRule="exact"/>
              <w:jc w:val="center"/>
              <w:rPr>
                <w:rFonts w:ascii="Arial" w:hAnsi="Arial" w:cs="Arial"/>
                <w:sz w:val="20"/>
              </w:rPr>
            </w:pPr>
            <w:r w:rsidRPr="00656D6B">
              <w:rPr>
                <w:rFonts w:ascii="Arial" w:hAnsi="Arial" w:cs="Arial"/>
                <w:sz w:val="20"/>
              </w:rPr>
              <w:t>F.748 (</w:t>
            </w:r>
            <w:proofErr w:type="spellStart"/>
            <w:r w:rsidRPr="00656D6B">
              <w:rPr>
                <w:rFonts w:ascii="Arial" w:hAnsi="Arial" w:cs="Arial"/>
                <w:sz w:val="20"/>
              </w:rPr>
              <w:t>frequency</w:t>
            </w:r>
            <w:proofErr w:type="spellEnd"/>
            <w:r w:rsidRPr="00656D6B">
              <w:rPr>
                <w:rFonts w:ascii="Arial" w:hAnsi="Arial" w:cs="Arial"/>
                <w:sz w:val="20"/>
              </w:rPr>
              <w:t xml:space="preserve"> arrangements)</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Modulation</w:t>
            </w:r>
          </w:p>
        </w:tc>
        <w:tc>
          <w:tcPr>
            <w:tcW w:w="6378" w:type="dxa"/>
            <w:gridSpan w:val="2"/>
          </w:tcPr>
          <w:p w:rsidR="0094765C" w:rsidRPr="00656D6B" w:rsidRDefault="0094765C" w:rsidP="00C96212">
            <w:pPr>
              <w:pStyle w:val="Tabletext1"/>
              <w:spacing w:before="20" w:after="20" w:line="240" w:lineRule="exact"/>
              <w:jc w:val="center"/>
              <w:rPr>
                <w:rFonts w:ascii="Arial" w:hAnsi="Arial" w:cs="Arial"/>
                <w:sz w:val="20"/>
                <w:lang w:val="en-US" w:eastAsia="ja-JP"/>
              </w:rPr>
            </w:pPr>
            <w:r w:rsidRPr="00656D6B">
              <w:rPr>
                <w:rFonts w:ascii="Arial" w:hAnsi="Arial" w:cs="Arial"/>
                <w:sz w:val="20"/>
                <w:lang w:val="en-US" w:eastAsia="ja-JP"/>
              </w:rPr>
              <w:t>from QPSK to 256 QAM</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Channel spacing and receiver noise bandwidth (MHz)</w:t>
            </w:r>
          </w:p>
        </w:tc>
        <w:tc>
          <w:tcPr>
            <w:tcW w:w="6378" w:type="dxa"/>
            <w:gridSpan w:val="2"/>
          </w:tcPr>
          <w:p w:rsidR="0094765C" w:rsidRPr="00656D6B" w:rsidRDefault="0094765C" w:rsidP="00C96212">
            <w:pPr>
              <w:pStyle w:val="Tabletext1"/>
              <w:spacing w:before="20" w:after="20" w:line="240" w:lineRule="exact"/>
              <w:jc w:val="center"/>
              <w:rPr>
                <w:rFonts w:ascii="Arial" w:hAnsi="Arial" w:cs="Arial"/>
                <w:sz w:val="20"/>
                <w:lang w:val="ru-RU" w:eastAsia="ja-JP"/>
              </w:rPr>
            </w:pPr>
            <w:r w:rsidRPr="00656D6B">
              <w:rPr>
                <w:rFonts w:ascii="Arial" w:hAnsi="Arial" w:cs="Arial"/>
                <w:sz w:val="20"/>
                <w:lang w:eastAsia="ja-JP"/>
              </w:rPr>
              <w:t>3</w:t>
            </w:r>
            <w:r w:rsidRPr="00656D6B">
              <w:rPr>
                <w:rFonts w:ascii="Arial" w:hAnsi="Arial" w:cs="Arial"/>
                <w:sz w:val="20"/>
                <w:lang w:val="en-US" w:eastAsia="ja-JP"/>
              </w:rPr>
              <w:t>.</w:t>
            </w:r>
            <w:r w:rsidRPr="00656D6B">
              <w:rPr>
                <w:rFonts w:ascii="Arial" w:hAnsi="Arial" w:cs="Arial"/>
                <w:sz w:val="20"/>
                <w:lang w:val="ru-RU" w:eastAsia="ja-JP"/>
              </w:rPr>
              <w:t>5</w:t>
            </w:r>
            <w:r w:rsidRPr="00656D6B">
              <w:rPr>
                <w:rFonts w:ascii="Arial" w:hAnsi="Arial" w:cs="Arial"/>
                <w:sz w:val="20"/>
                <w:lang w:eastAsia="ja-JP"/>
              </w:rPr>
              <w:t>, 7, 14, 28, 56, 112</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Feeder loss (dB)</w:t>
            </w:r>
          </w:p>
        </w:tc>
        <w:tc>
          <w:tcPr>
            <w:tcW w:w="2976"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0</w:t>
            </w:r>
          </w:p>
        </w:tc>
        <w:tc>
          <w:tcPr>
            <w:tcW w:w="3402"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0</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Antenna type and gain range (</w:t>
            </w:r>
            <w:proofErr w:type="spellStart"/>
            <w:r w:rsidRPr="00656D6B">
              <w:rPr>
                <w:rFonts w:ascii="Arial" w:hAnsi="Arial" w:cs="Arial"/>
                <w:sz w:val="20"/>
                <w:lang w:val="en-US"/>
              </w:rPr>
              <w:t>dBi</w:t>
            </w:r>
            <w:proofErr w:type="spellEnd"/>
            <w:r w:rsidRPr="00656D6B">
              <w:rPr>
                <w:rFonts w:ascii="Arial" w:hAnsi="Arial" w:cs="Arial"/>
                <w:sz w:val="20"/>
                <w:lang w:val="en-US"/>
              </w:rPr>
              <w:t>)</w:t>
            </w:r>
          </w:p>
        </w:tc>
        <w:tc>
          <w:tcPr>
            <w:tcW w:w="2976" w:type="dxa"/>
          </w:tcPr>
          <w:p w:rsidR="0094765C" w:rsidRPr="00656D6B" w:rsidRDefault="0094765C" w:rsidP="00C96212">
            <w:pPr>
              <w:pStyle w:val="Tabletext1"/>
              <w:spacing w:before="20" w:after="20" w:line="240" w:lineRule="exact"/>
              <w:jc w:val="center"/>
              <w:rPr>
                <w:rFonts w:ascii="Arial" w:hAnsi="Arial" w:cs="Arial"/>
                <w:sz w:val="20"/>
                <w:lang w:val="ru-RU" w:eastAsia="ja-JP"/>
              </w:rPr>
            </w:pPr>
            <w:r w:rsidRPr="00656D6B">
              <w:rPr>
                <w:rFonts w:ascii="Arial" w:hAnsi="Arial" w:cs="Arial"/>
                <w:sz w:val="20"/>
                <w:lang w:eastAsia="ja-JP"/>
              </w:rPr>
              <w:t>15...27 (</w:t>
            </w:r>
            <w:r w:rsidRPr="00656D6B">
              <w:rPr>
                <w:rFonts w:ascii="Arial" w:hAnsi="Arial" w:cs="Arial"/>
                <w:sz w:val="20"/>
                <w:lang w:val="en-US" w:eastAsia="ja-JP"/>
              </w:rPr>
              <w:t>sector</w:t>
            </w:r>
            <w:r w:rsidRPr="00656D6B">
              <w:rPr>
                <w:rFonts w:ascii="Arial" w:hAnsi="Arial" w:cs="Arial"/>
                <w:sz w:val="20"/>
                <w:lang w:eastAsia="ja-JP"/>
              </w:rPr>
              <w:t>)</w:t>
            </w:r>
          </w:p>
        </w:tc>
        <w:tc>
          <w:tcPr>
            <w:tcW w:w="3402" w:type="dxa"/>
          </w:tcPr>
          <w:p w:rsidR="0094765C" w:rsidRPr="00656D6B" w:rsidRDefault="0094765C" w:rsidP="00C96212">
            <w:pPr>
              <w:pStyle w:val="Tabletext1"/>
              <w:spacing w:before="20" w:after="20" w:line="240" w:lineRule="exact"/>
              <w:jc w:val="center"/>
              <w:rPr>
                <w:rFonts w:ascii="Arial" w:hAnsi="Arial" w:cs="Arial"/>
                <w:sz w:val="20"/>
                <w:lang w:val="en-US" w:eastAsia="ja-JP"/>
              </w:rPr>
            </w:pPr>
            <w:r w:rsidRPr="00656D6B">
              <w:rPr>
                <w:rFonts w:ascii="Arial" w:hAnsi="Arial" w:cs="Arial"/>
                <w:sz w:val="20"/>
                <w:lang w:eastAsia="ja-JP"/>
              </w:rPr>
              <w:t xml:space="preserve">0.24 </w:t>
            </w:r>
            <w:r w:rsidRPr="00656D6B">
              <w:rPr>
                <w:rFonts w:ascii="Arial" w:hAnsi="Arial" w:cs="Arial"/>
                <w:sz w:val="20"/>
                <w:lang w:val="en-US" w:eastAsia="ja-JP"/>
              </w:rPr>
              <w:t>m antenna diameter</w:t>
            </w:r>
            <w:r w:rsidRPr="00656D6B">
              <w:rPr>
                <w:rFonts w:ascii="Arial" w:hAnsi="Arial" w:cs="Arial"/>
                <w:sz w:val="20"/>
                <w:lang w:eastAsia="ja-JP"/>
              </w:rPr>
              <w:t>: 33.8</w:t>
            </w:r>
          </w:p>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0.</w:t>
            </w:r>
            <w:r w:rsidRPr="00656D6B">
              <w:rPr>
                <w:rFonts w:ascii="Arial" w:hAnsi="Arial" w:cs="Arial"/>
                <w:sz w:val="20"/>
                <w:lang w:val="en-US" w:eastAsia="ja-JP"/>
              </w:rPr>
              <w:t>3</w:t>
            </w:r>
            <w:r w:rsidRPr="00656D6B">
              <w:rPr>
                <w:rFonts w:ascii="Arial" w:hAnsi="Arial" w:cs="Arial"/>
                <w:sz w:val="20"/>
                <w:lang w:eastAsia="ja-JP"/>
              </w:rPr>
              <w:t xml:space="preserve"> </w:t>
            </w:r>
            <w:r w:rsidRPr="00656D6B">
              <w:rPr>
                <w:rFonts w:ascii="Arial" w:hAnsi="Arial" w:cs="Arial"/>
                <w:sz w:val="20"/>
                <w:lang w:val="en-US" w:eastAsia="ja-JP"/>
              </w:rPr>
              <w:t>m antenna diameter</w:t>
            </w:r>
            <w:r w:rsidRPr="00656D6B">
              <w:rPr>
                <w:rFonts w:ascii="Arial" w:hAnsi="Arial" w:cs="Arial"/>
                <w:sz w:val="20"/>
                <w:lang w:eastAsia="ja-JP"/>
              </w:rPr>
              <w:t>: 37.3</w:t>
            </w:r>
          </w:p>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0.</w:t>
            </w:r>
            <w:r w:rsidRPr="00656D6B">
              <w:rPr>
                <w:rFonts w:ascii="Arial" w:hAnsi="Arial" w:cs="Arial"/>
                <w:sz w:val="20"/>
                <w:lang w:val="en-US" w:eastAsia="ja-JP"/>
              </w:rPr>
              <w:t>6</w:t>
            </w:r>
            <w:r w:rsidRPr="00656D6B">
              <w:rPr>
                <w:rFonts w:ascii="Arial" w:hAnsi="Arial" w:cs="Arial"/>
                <w:sz w:val="20"/>
                <w:lang w:eastAsia="ja-JP"/>
              </w:rPr>
              <w:t xml:space="preserve"> </w:t>
            </w:r>
            <w:r w:rsidRPr="00656D6B">
              <w:rPr>
                <w:rFonts w:ascii="Arial" w:hAnsi="Arial" w:cs="Arial"/>
                <w:sz w:val="20"/>
                <w:lang w:val="en-US" w:eastAsia="ja-JP"/>
              </w:rPr>
              <w:t>m antenna diameter</w:t>
            </w:r>
            <w:r w:rsidRPr="00656D6B">
              <w:rPr>
                <w:rFonts w:ascii="Arial" w:hAnsi="Arial" w:cs="Arial"/>
                <w:sz w:val="20"/>
                <w:lang w:eastAsia="ja-JP"/>
              </w:rPr>
              <w:t>: 41.5</w:t>
            </w:r>
          </w:p>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val="en-US" w:eastAsia="ja-JP"/>
              </w:rPr>
              <w:t>1</w:t>
            </w:r>
            <w:r w:rsidRPr="00656D6B">
              <w:rPr>
                <w:rFonts w:ascii="Arial" w:hAnsi="Arial" w:cs="Arial"/>
                <w:sz w:val="20"/>
                <w:lang w:eastAsia="ja-JP"/>
              </w:rPr>
              <w:t>.</w:t>
            </w:r>
            <w:r w:rsidRPr="00656D6B">
              <w:rPr>
                <w:rFonts w:ascii="Arial" w:hAnsi="Arial" w:cs="Arial"/>
                <w:sz w:val="20"/>
                <w:lang w:val="en-US" w:eastAsia="ja-JP"/>
              </w:rPr>
              <w:t>2</w:t>
            </w:r>
            <w:r w:rsidRPr="00656D6B">
              <w:rPr>
                <w:rFonts w:ascii="Arial" w:hAnsi="Arial" w:cs="Arial"/>
                <w:sz w:val="20"/>
                <w:lang w:eastAsia="ja-JP"/>
              </w:rPr>
              <w:t xml:space="preserve"> </w:t>
            </w:r>
            <w:r w:rsidRPr="00656D6B">
              <w:rPr>
                <w:rFonts w:ascii="Arial" w:hAnsi="Arial" w:cs="Arial"/>
                <w:sz w:val="20"/>
                <w:lang w:val="en-US" w:eastAsia="ja-JP"/>
              </w:rPr>
              <w:t>m antenna diameter</w:t>
            </w:r>
            <w:r w:rsidRPr="00656D6B">
              <w:rPr>
                <w:rFonts w:ascii="Arial" w:hAnsi="Arial" w:cs="Arial"/>
                <w:sz w:val="20"/>
                <w:lang w:eastAsia="ja-JP"/>
              </w:rPr>
              <w:t>: 47.1</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proofErr w:type="spellStart"/>
            <w:r w:rsidRPr="00656D6B">
              <w:rPr>
                <w:rFonts w:ascii="Arial" w:hAnsi="Arial" w:cs="Arial"/>
                <w:sz w:val="20"/>
              </w:rPr>
              <w:t>e.i.r.p</w:t>
            </w:r>
            <w:proofErr w:type="spellEnd"/>
            <w:r w:rsidRPr="00656D6B">
              <w:rPr>
                <w:rFonts w:ascii="Arial" w:hAnsi="Arial" w:cs="Arial"/>
                <w:sz w:val="20"/>
              </w:rPr>
              <w:t>.</w:t>
            </w:r>
            <w:r w:rsidRPr="00656D6B">
              <w:rPr>
                <w:rFonts w:ascii="Arial" w:hAnsi="Arial" w:cs="Arial"/>
                <w:sz w:val="20"/>
                <w:lang w:eastAsia="ja-JP"/>
              </w:rPr>
              <w:t xml:space="preserve"> </w:t>
            </w:r>
            <w:r w:rsidRPr="00656D6B">
              <w:rPr>
                <w:rFonts w:ascii="Arial" w:hAnsi="Arial" w:cs="Arial"/>
                <w:sz w:val="20"/>
              </w:rPr>
              <w:t>range (</w:t>
            </w:r>
            <w:proofErr w:type="spellStart"/>
            <w:r w:rsidRPr="00656D6B">
              <w:rPr>
                <w:rFonts w:ascii="Arial" w:hAnsi="Arial" w:cs="Arial"/>
                <w:sz w:val="20"/>
              </w:rPr>
              <w:t>dBW</w:t>
            </w:r>
            <w:proofErr w:type="spellEnd"/>
            <w:r w:rsidRPr="00656D6B">
              <w:rPr>
                <w:rFonts w:ascii="Arial" w:hAnsi="Arial" w:cs="Arial"/>
                <w:sz w:val="20"/>
              </w:rPr>
              <w:t>)</w:t>
            </w:r>
          </w:p>
        </w:tc>
        <w:tc>
          <w:tcPr>
            <w:tcW w:w="2976"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2...17</w:t>
            </w:r>
          </w:p>
        </w:tc>
        <w:tc>
          <w:tcPr>
            <w:tcW w:w="3402"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13...40</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Receiver noise figure typical (dB)</w:t>
            </w:r>
          </w:p>
        </w:tc>
        <w:tc>
          <w:tcPr>
            <w:tcW w:w="2976"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6.5</w:t>
            </w:r>
          </w:p>
        </w:tc>
        <w:tc>
          <w:tcPr>
            <w:tcW w:w="3402"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6.5</w:t>
            </w:r>
          </w:p>
        </w:tc>
      </w:tr>
      <w:tr w:rsidR="0094765C" w:rsidRPr="00656D6B" w:rsidTr="00C96212">
        <w:tc>
          <w:tcPr>
            <w:tcW w:w="3288" w:type="dxa"/>
          </w:tcPr>
          <w:p w:rsidR="0094765C" w:rsidRPr="00656D6B" w:rsidRDefault="0094765C" w:rsidP="00C96212">
            <w:pPr>
              <w:pStyle w:val="Tabletext1"/>
              <w:spacing w:before="20" w:after="20" w:line="240" w:lineRule="exact"/>
              <w:jc w:val="center"/>
              <w:rPr>
                <w:rFonts w:ascii="Arial" w:hAnsi="Arial" w:cs="Arial"/>
                <w:sz w:val="20"/>
                <w:lang w:val="en-US"/>
              </w:rPr>
            </w:pPr>
            <w:r w:rsidRPr="00656D6B">
              <w:rPr>
                <w:rFonts w:ascii="Arial" w:hAnsi="Arial" w:cs="Arial"/>
                <w:sz w:val="20"/>
                <w:lang w:val="en-US"/>
              </w:rPr>
              <w:t xml:space="preserve">Receiver noise power density typical </w:t>
            </w:r>
            <w:r w:rsidRPr="00656D6B">
              <w:rPr>
                <w:rFonts w:ascii="Arial" w:hAnsi="Arial" w:cs="Arial"/>
                <w:sz w:val="20"/>
                <w:lang w:val="en-US" w:eastAsia="ja-JP"/>
              </w:rPr>
              <w:t>(=</w:t>
            </w:r>
            <w:r w:rsidRPr="00656D6B">
              <w:rPr>
                <w:rFonts w:ascii="Arial" w:hAnsi="Arial" w:cs="Arial"/>
                <w:i/>
                <w:iCs/>
                <w:sz w:val="20"/>
                <w:lang w:val="en-US"/>
              </w:rPr>
              <w:t>N</w:t>
            </w:r>
            <w:r w:rsidRPr="00656D6B">
              <w:rPr>
                <w:rFonts w:ascii="Arial" w:hAnsi="Arial" w:cs="Arial"/>
                <w:i/>
                <w:iCs/>
                <w:sz w:val="20"/>
                <w:vertAlign w:val="subscript"/>
                <w:lang w:val="en-US"/>
              </w:rPr>
              <w:t>RX</w:t>
            </w:r>
            <w:r w:rsidRPr="00656D6B">
              <w:rPr>
                <w:rFonts w:ascii="Arial" w:hAnsi="Arial" w:cs="Arial"/>
                <w:sz w:val="20"/>
                <w:lang w:val="en-US" w:eastAsia="ja-JP"/>
              </w:rPr>
              <w:t>)</w:t>
            </w:r>
            <w:r w:rsidRPr="00656D6B">
              <w:rPr>
                <w:rFonts w:ascii="Arial" w:hAnsi="Arial" w:cs="Arial"/>
                <w:sz w:val="20"/>
                <w:lang w:val="en-US"/>
              </w:rPr>
              <w:t xml:space="preserve"> (</w:t>
            </w:r>
            <w:proofErr w:type="spellStart"/>
            <w:r w:rsidRPr="00656D6B">
              <w:rPr>
                <w:rFonts w:ascii="Arial" w:hAnsi="Arial" w:cs="Arial"/>
                <w:sz w:val="20"/>
                <w:lang w:val="en-US"/>
              </w:rPr>
              <w:t>dBW</w:t>
            </w:r>
            <w:proofErr w:type="spellEnd"/>
            <w:r w:rsidRPr="00656D6B">
              <w:rPr>
                <w:rFonts w:ascii="Arial" w:hAnsi="Arial" w:cs="Arial"/>
                <w:sz w:val="20"/>
                <w:lang w:val="en-US"/>
              </w:rPr>
              <w:t>/MHz)</w:t>
            </w:r>
          </w:p>
        </w:tc>
        <w:tc>
          <w:tcPr>
            <w:tcW w:w="2976"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−137.5</w:t>
            </w:r>
          </w:p>
        </w:tc>
        <w:tc>
          <w:tcPr>
            <w:tcW w:w="3402" w:type="dxa"/>
          </w:tcPr>
          <w:p w:rsidR="0094765C" w:rsidRPr="00656D6B" w:rsidRDefault="0094765C" w:rsidP="00C96212">
            <w:pPr>
              <w:pStyle w:val="Tabletext1"/>
              <w:spacing w:before="20" w:after="20" w:line="240" w:lineRule="exact"/>
              <w:jc w:val="center"/>
              <w:rPr>
                <w:rFonts w:ascii="Arial" w:hAnsi="Arial" w:cs="Arial"/>
                <w:sz w:val="20"/>
                <w:lang w:eastAsia="ja-JP"/>
              </w:rPr>
            </w:pPr>
            <w:r w:rsidRPr="00656D6B">
              <w:rPr>
                <w:rFonts w:ascii="Arial" w:hAnsi="Arial" w:cs="Arial"/>
                <w:sz w:val="20"/>
                <w:lang w:eastAsia="ja-JP"/>
              </w:rPr>
              <w:t>−137.5</w:t>
            </w:r>
          </w:p>
        </w:tc>
      </w:tr>
      <w:tr w:rsidR="0094765C" w:rsidRPr="00656D6B" w:rsidTr="00C96212">
        <w:tc>
          <w:tcPr>
            <w:tcW w:w="3288" w:type="dxa"/>
          </w:tcPr>
          <w:p w:rsidR="0094765C" w:rsidRPr="00656D6B" w:rsidDel="00981BB7" w:rsidRDefault="0094765C" w:rsidP="00C96212">
            <w:pPr>
              <w:pStyle w:val="Tabletext1"/>
              <w:spacing w:before="20" w:after="20" w:line="240" w:lineRule="exact"/>
              <w:jc w:val="center"/>
              <w:rPr>
                <w:rFonts w:ascii="Arial" w:hAnsi="Arial" w:cs="Arial"/>
                <w:sz w:val="20"/>
                <w:lang w:val="ru-RU"/>
              </w:rPr>
            </w:pPr>
            <w:r w:rsidRPr="00656D6B">
              <w:rPr>
                <w:rFonts w:ascii="Arial" w:hAnsi="Arial" w:cs="Arial"/>
                <w:sz w:val="20"/>
                <w:lang w:val="ru-RU"/>
              </w:rPr>
              <w:t>Polarization</w:t>
            </w:r>
          </w:p>
        </w:tc>
        <w:tc>
          <w:tcPr>
            <w:tcW w:w="6378" w:type="dxa"/>
            <w:gridSpan w:val="2"/>
          </w:tcPr>
          <w:p w:rsidR="0094765C" w:rsidRPr="00656D6B" w:rsidRDefault="0094765C" w:rsidP="00C96212">
            <w:pPr>
              <w:pStyle w:val="Tabletext1"/>
              <w:spacing w:before="20" w:after="20" w:line="240" w:lineRule="exact"/>
              <w:jc w:val="center"/>
              <w:rPr>
                <w:rFonts w:ascii="Arial" w:hAnsi="Arial" w:cs="Arial"/>
                <w:sz w:val="20"/>
                <w:lang w:val="en-US" w:eastAsia="ja-JP"/>
              </w:rPr>
            </w:pPr>
            <w:r w:rsidRPr="00656D6B">
              <w:rPr>
                <w:rFonts w:ascii="Arial" w:hAnsi="Arial" w:cs="Arial"/>
                <w:sz w:val="20"/>
                <w:lang w:eastAsia="ja-JP"/>
              </w:rPr>
              <w:t xml:space="preserve">V, H </w:t>
            </w:r>
            <w:r w:rsidRPr="00656D6B">
              <w:rPr>
                <w:rFonts w:ascii="Arial" w:hAnsi="Arial" w:cs="Arial"/>
                <w:sz w:val="20"/>
                <w:lang w:val="en-US" w:eastAsia="ja-JP"/>
              </w:rPr>
              <w:t>or both</w:t>
            </w:r>
          </w:p>
        </w:tc>
      </w:tr>
    </w:tbl>
    <w:p w:rsidR="0094765C" w:rsidRDefault="0094765C" w:rsidP="00EB6B98">
      <w:pPr>
        <w:jc w:val="both"/>
      </w:pPr>
    </w:p>
    <w:p w:rsidR="00D40E0B" w:rsidRDefault="00D40E0B" w:rsidP="00EB6B98">
      <w:pPr>
        <w:jc w:val="both"/>
      </w:pPr>
      <w:r>
        <w:t xml:space="preserve">     </w:t>
      </w:r>
    </w:p>
    <w:p w:rsidR="00D044FA" w:rsidRDefault="00A00C86" w:rsidP="00D044FA">
      <w:pPr>
        <w:keepNext/>
        <w:jc w:val="center"/>
      </w:pPr>
      <w:r w:rsidRPr="00A00C86">
        <w:rPr>
          <w:noProof/>
          <w:lang w:eastAsia="en-GB"/>
        </w:rPr>
        <w:drawing>
          <wp:inline distT="0" distB="0" distL="0" distR="0">
            <wp:extent cx="5623560" cy="3307382"/>
            <wp:effectExtent l="0" t="0" r="0" b="7620"/>
            <wp:docPr id="2" name="Picture 2" descr="C:\Users\mpapaleo\Desktop\delete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apaleo\Desktop\deletem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7531" cy="3309717"/>
                    </a:xfrm>
                    <a:prstGeom prst="rect">
                      <a:avLst/>
                    </a:prstGeom>
                    <a:noFill/>
                    <a:ln>
                      <a:noFill/>
                    </a:ln>
                  </pic:spPr>
                </pic:pic>
              </a:graphicData>
            </a:graphic>
          </wp:inline>
        </w:drawing>
      </w:r>
    </w:p>
    <w:p w:rsidR="00D044FA" w:rsidRPr="00D044FA" w:rsidRDefault="00D044FA" w:rsidP="00D044FA">
      <w:pPr>
        <w:pStyle w:val="Caption"/>
        <w:jc w:val="center"/>
        <w:rPr>
          <w:b w:val="0"/>
        </w:rPr>
      </w:pPr>
      <w:bookmarkStart w:id="3" w:name="_Ref498697955"/>
      <w:r>
        <w:t xml:space="preserve">Figure </w:t>
      </w:r>
      <w:r>
        <w:fldChar w:fldCharType="begin"/>
      </w:r>
      <w:r>
        <w:instrText xml:space="preserve"> SEQ Figure \* ARABIC </w:instrText>
      </w:r>
      <w:r>
        <w:fldChar w:fldCharType="separate"/>
      </w:r>
      <w:r w:rsidR="004D2532">
        <w:rPr>
          <w:noProof/>
        </w:rPr>
        <w:t>2</w:t>
      </w:r>
      <w:r>
        <w:fldChar w:fldCharType="end"/>
      </w:r>
      <w:bookmarkEnd w:id="3"/>
      <w:r>
        <w:t xml:space="preserve">. </w:t>
      </w:r>
      <w:r w:rsidRPr="00D044FA">
        <w:t>Frequen</w:t>
      </w:r>
      <w:r>
        <w:t>cy band 26 GHz, antenna size: 0.</w:t>
      </w:r>
      <w:r w:rsidRPr="00D044FA">
        <w:t>6m</w:t>
      </w:r>
      <w:r>
        <w:t xml:space="preserve"> diameter </w:t>
      </w:r>
      <w:r>
        <w:fldChar w:fldCharType="begin"/>
      </w:r>
      <w:r>
        <w:instrText xml:space="preserve"> REF _Ref498697877 \r \h </w:instrText>
      </w:r>
      <w:r>
        <w:fldChar w:fldCharType="separate"/>
      </w:r>
      <w:r w:rsidR="004D2532">
        <w:t>[14]</w:t>
      </w:r>
      <w:r>
        <w:fldChar w:fldCharType="end"/>
      </w:r>
      <w:r>
        <w:t>.</w:t>
      </w:r>
    </w:p>
    <w:p w:rsidR="00D044FA" w:rsidRPr="008744CC" w:rsidRDefault="00D044FA" w:rsidP="00D044FA">
      <w:pPr>
        <w:pStyle w:val="Caption"/>
        <w:rPr>
          <w:rFonts w:cs="Arial"/>
          <w:b w:val="0"/>
        </w:rPr>
      </w:pPr>
    </w:p>
    <w:p w:rsidR="004E53B8" w:rsidRDefault="0082382A" w:rsidP="00EB6B98">
      <w:pPr>
        <w:jc w:val="both"/>
      </w:pPr>
      <w:r>
        <w:t xml:space="preserve">In order to compute a link budget to estimate the jammer level at the UE, we need to analyse a specific scenario. We assume that </w:t>
      </w:r>
      <w:r w:rsidR="004E53B8">
        <w:t>the fixed link is operating between two buildings and a UE receiving at ground level see</w:t>
      </w:r>
      <w:r w:rsidR="002B2990">
        <w:t>s</w:t>
      </w:r>
      <w:r w:rsidR="004E53B8">
        <w:t xml:space="preserve"> the aggressor antenna at 20</w:t>
      </w:r>
      <w:r w:rsidR="002D239E">
        <w:rPr>
          <w:rFonts w:ascii="Calibri" w:hAnsi="Calibri"/>
        </w:rPr>
        <w:t xml:space="preserve">° </w:t>
      </w:r>
      <w:r w:rsidR="004E53B8">
        <w:t xml:space="preserve">offset compared to the peak direction. A pictorial representation of the scenario under analysis is shown in </w:t>
      </w:r>
      <w:r w:rsidR="004E53B8">
        <w:fldChar w:fldCharType="begin"/>
      </w:r>
      <w:r w:rsidR="004E53B8">
        <w:instrText xml:space="preserve"> REF _Ref498699041 \h </w:instrText>
      </w:r>
      <w:r w:rsidR="004E53B8">
        <w:fldChar w:fldCharType="separate"/>
      </w:r>
      <w:r w:rsidR="004D2532">
        <w:t xml:space="preserve">Figure </w:t>
      </w:r>
      <w:r w:rsidR="004D2532">
        <w:rPr>
          <w:noProof/>
        </w:rPr>
        <w:t>3</w:t>
      </w:r>
      <w:r w:rsidR="004E53B8">
        <w:fldChar w:fldCharType="end"/>
      </w:r>
      <w:r w:rsidR="004E53B8">
        <w:t xml:space="preserve">. Considering </w:t>
      </w:r>
      <w:proofErr w:type="gramStart"/>
      <w:r w:rsidR="004E53B8">
        <w:t>a distance of 10m</w:t>
      </w:r>
      <w:proofErr w:type="gramEnd"/>
      <w:r w:rsidR="004E53B8">
        <w:t xml:space="preserve"> from the aggressor transmitter, free space path loss is about 80</w:t>
      </w:r>
      <w:r w:rsidR="0072394B">
        <w:t>dB</w:t>
      </w:r>
      <w:r w:rsidR="004E53B8">
        <w:t>, so a minimum coupling loss analysis gives the following received level at UE:</w:t>
      </w:r>
    </w:p>
    <w:p w:rsidR="00D044FA" w:rsidRDefault="004E53B8" w:rsidP="004E53B8">
      <w:pPr>
        <w:jc w:val="center"/>
      </w:pPr>
      <w:r>
        <w:lastRenderedPageBreak/>
        <w:t xml:space="preserve">UE </w:t>
      </w:r>
      <w:proofErr w:type="spellStart"/>
      <w:r w:rsidR="002D239E">
        <w:t>rx</w:t>
      </w:r>
      <w:proofErr w:type="spellEnd"/>
      <w:r>
        <w:t xml:space="preserve"> block</w:t>
      </w:r>
      <w:r w:rsidR="002D239E">
        <w:t>ing power = 70dBm (m</w:t>
      </w:r>
      <w:bookmarkStart w:id="4" w:name="_GoBack"/>
      <w:bookmarkEnd w:id="4"/>
      <w:r w:rsidR="002D239E">
        <w:t>ax</w:t>
      </w:r>
      <w:r>
        <w:t xml:space="preserve"> EIRP) – 80d</w:t>
      </w:r>
      <w:r w:rsidR="002D239E">
        <w:t xml:space="preserve">B (pathloss) </w:t>
      </w:r>
      <w:r>
        <w:t>–</w:t>
      </w:r>
      <w:r w:rsidR="002D239E">
        <w:t xml:space="preserve"> </w:t>
      </w:r>
      <w:r>
        <w:t>40dB</w:t>
      </w:r>
      <w:r w:rsidR="002D239E">
        <w:t xml:space="preserve"> (antenna discrimination</w:t>
      </w:r>
      <w:r w:rsidR="002D239E">
        <w:rPr>
          <w:rFonts w:ascii="Calibri" w:hAnsi="Calibri"/>
        </w:rPr>
        <w:t>) = -50dBm</w:t>
      </w:r>
      <w:r w:rsidR="002D239E">
        <w:t xml:space="preserve"> </w:t>
      </w:r>
    </w:p>
    <w:p w:rsidR="002D239E" w:rsidRDefault="00CD0574" w:rsidP="002D239E">
      <w:pPr>
        <w:jc w:val="both"/>
        <w:rPr>
          <w:lang w:val="en-US"/>
        </w:rPr>
      </w:pPr>
      <w:r w:rsidRPr="00CD0574">
        <w:rPr>
          <w:lang w:val="en-US"/>
        </w:rPr>
        <w:t>In the</w:t>
      </w:r>
      <w:r w:rsidR="002D239E" w:rsidRPr="00CD0574">
        <w:rPr>
          <w:lang w:val="en-US"/>
        </w:rPr>
        <w:t xml:space="preserve"> </w:t>
      </w:r>
      <w:r>
        <w:rPr>
          <w:lang w:val="en-US"/>
        </w:rPr>
        <w:t>calculation above we did not include any blockage loss (hand/body), nor UE antenna discrimination, as a consequence received power could be even lower. Based on the above observations, we make the following proposal:</w:t>
      </w:r>
    </w:p>
    <w:p w:rsidR="00CD0574" w:rsidRDefault="00CD0574" w:rsidP="00CD0574">
      <w:pPr>
        <w:jc w:val="both"/>
        <w:rPr>
          <w:b/>
          <w:i/>
        </w:rPr>
      </w:pPr>
      <w:r>
        <w:rPr>
          <w:b/>
          <w:i/>
        </w:rPr>
        <w:t>Observation 2: UE blocking requirement for protection against fixed services should be in the -50~-45dBm ballpark.</w:t>
      </w:r>
    </w:p>
    <w:p w:rsidR="00CD0574" w:rsidRDefault="00CD0574" w:rsidP="00CD0574">
      <w:pPr>
        <w:jc w:val="both"/>
      </w:pPr>
      <w:r>
        <w:t xml:space="preserve">However, </w:t>
      </w:r>
      <w:r w:rsidR="0072394B">
        <w:t xml:space="preserve">given the low level of the blocker, </w:t>
      </w:r>
      <w:r>
        <w:t>whether this requirement is needed or not should be further discussed.</w:t>
      </w:r>
    </w:p>
    <w:p w:rsidR="00CD0574" w:rsidRDefault="00CD0574" w:rsidP="00CD0574">
      <w:pPr>
        <w:jc w:val="both"/>
        <w:rPr>
          <w:b/>
          <w:i/>
        </w:rPr>
      </w:pPr>
      <w:r w:rsidRPr="00CD0574">
        <w:rPr>
          <w:b/>
          <w:i/>
        </w:rPr>
        <w:t xml:space="preserve">Proposal 5: </w:t>
      </w:r>
      <w:r w:rsidR="005D50DD">
        <w:rPr>
          <w:b/>
          <w:i/>
        </w:rPr>
        <w:t xml:space="preserve">In </w:t>
      </w:r>
      <w:r>
        <w:rPr>
          <w:b/>
          <w:i/>
        </w:rPr>
        <w:t>RAN4 NR Ad Hoc #4, it should be decided whether UE OOB blocking requirements for Range 2 NR</w:t>
      </w:r>
      <w:r w:rsidR="002B2990">
        <w:rPr>
          <w:b/>
          <w:i/>
        </w:rPr>
        <w:t xml:space="preserve"> </w:t>
      </w:r>
      <w:r w:rsidR="005D50DD">
        <w:rPr>
          <w:b/>
          <w:i/>
        </w:rPr>
        <w:t>is needed</w:t>
      </w:r>
      <w:r>
        <w:rPr>
          <w:b/>
          <w:i/>
        </w:rPr>
        <w:t>.</w:t>
      </w:r>
    </w:p>
    <w:p w:rsidR="00CD0574" w:rsidRDefault="00CD0574" w:rsidP="00CD0574">
      <w:pPr>
        <w:jc w:val="both"/>
      </w:pPr>
      <w:r>
        <w:t>In case RAN4 decides that an OOB blocking requirement is needed, similarly to what done for LTE, the exception for spurious response frequencies should also</w:t>
      </w:r>
      <w:r w:rsidR="002B2990">
        <w:t xml:space="preserve"> be</w:t>
      </w:r>
      <w:r>
        <w:t xml:space="preserve"> discussed. In particular, number of exceptions and spurious response should be decided together with the OOB blocking requirement.</w:t>
      </w:r>
    </w:p>
    <w:p w:rsidR="00CD0574" w:rsidRDefault="00CD0574" w:rsidP="00CD0574">
      <w:pPr>
        <w:jc w:val="both"/>
        <w:rPr>
          <w:b/>
          <w:i/>
        </w:rPr>
      </w:pPr>
      <w:r>
        <w:rPr>
          <w:b/>
          <w:i/>
        </w:rPr>
        <w:t>Proposal 6</w:t>
      </w:r>
      <w:r w:rsidRPr="00CD0574">
        <w:rPr>
          <w:b/>
          <w:i/>
        </w:rPr>
        <w:t xml:space="preserve">: </w:t>
      </w:r>
      <w:r w:rsidR="00CF2DCB">
        <w:rPr>
          <w:b/>
          <w:i/>
        </w:rPr>
        <w:t>If RAN4 decides to define an OOB blocking requirement for range 2, the requirements should be defined by considering the number of exception for spurious response and the spurious response requirement.</w:t>
      </w:r>
    </w:p>
    <w:p w:rsidR="00CD0574" w:rsidRPr="00CD0574" w:rsidRDefault="00CD0574" w:rsidP="00CD0574">
      <w:pPr>
        <w:jc w:val="both"/>
      </w:pPr>
    </w:p>
    <w:p w:rsidR="002D239E" w:rsidRDefault="002D239E" w:rsidP="002D239E"/>
    <w:p w:rsidR="00D044FA" w:rsidRDefault="00D044FA" w:rsidP="00EB6B98">
      <w:pPr>
        <w:jc w:val="both"/>
      </w:pPr>
    </w:p>
    <w:p w:rsidR="004E53B8" w:rsidRDefault="004E53B8" w:rsidP="004E53B8">
      <w:pPr>
        <w:keepNext/>
        <w:jc w:val="both"/>
      </w:pPr>
      <w:r>
        <w:rPr>
          <w:noProof/>
          <w:lang w:val="en-US"/>
        </w:rPr>
        <w:drawing>
          <wp:inline distT="0" distB="0" distL="0" distR="0" wp14:anchorId="5ED09C8A" wp14:editId="3E527D81">
            <wp:extent cx="5379720" cy="1877510"/>
            <wp:effectExtent l="0" t="0" r="0" b="889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9035" cy="1880761"/>
                    </a:xfrm>
                    <a:prstGeom prst="rect">
                      <a:avLst/>
                    </a:prstGeom>
                    <a:noFill/>
                  </pic:spPr>
                </pic:pic>
              </a:graphicData>
            </a:graphic>
          </wp:inline>
        </w:drawing>
      </w:r>
    </w:p>
    <w:p w:rsidR="00D044FA" w:rsidRPr="009545B4" w:rsidRDefault="004E53B8" w:rsidP="004E53B8">
      <w:pPr>
        <w:pStyle w:val="Caption"/>
        <w:jc w:val="center"/>
        <w:rPr>
          <w:lang w:val="en-US"/>
        </w:rPr>
      </w:pPr>
      <w:bookmarkStart w:id="5" w:name="_Ref498699041"/>
      <w:r>
        <w:t xml:space="preserve">Figure </w:t>
      </w:r>
      <w:r>
        <w:fldChar w:fldCharType="begin"/>
      </w:r>
      <w:r>
        <w:instrText xml:space="preserve"> SEQ Figure \* ARABIC </w:instrText>
      </w:r>
      <w:r>
        <w:fldChar w:fldCharType="separate"/>
      </w:r>
      <w:r w:rsidR="004D2532">
        <w:rPr>
          <w:noProof/>
        </w:rPr>
        <w:t>3</w:t>
      </w:r>
      <w:r>
        <w:fldChar w:fldCharType="end"/>
      </w:r>
      <w:bookmarkEnd w:id="5"/>
      <w:r>
        <w:t>. Pictorial representation of the scenario under analysis.</w:t>
      </w:r>
    </w:p>
    <w:p w:rsidR="00D85C68" w:rsidRDefault="00D85C68" w:rsidP="003D1A78">
      <w:pPr>
        <w:rPr>
          <w:lang w:val="en-US"/>
        </w:rPr>
      </w:pPr>
    </w:p>
    <w:p w:rsidR="00CF2DCB" w:rsidRDefault="00CF2DCB" w:rsidP="00CF2DCB">
      <w:pPr>
        <w:pStyle w:val="Heading1"/>
        <w:numPr>
          <w:ilvl w:val="0"/>
          <w:numId w:val="0"/>
        </w:numPr>
        <w:tabs>
          <w:tab w:val="num" w:pos="432"/>
        </w:tabs>
        <w:ind w:left="432" w:hanging="432"/>
        <w:jc w:val="both"/>
        <w:rPr>
          <w:lang w:val="en-US"/>
        </w:rPr>
      </w:pPr>
      <w:r>
        <w:rPr>
          <w:lang w:val="en-US"/>
        </w:rPr>
        <w:t>Conclusions</w:t>
      </w:r>
    </w:p>
    <w:p w:rsidR="00D85C68" w:rsidRDefault="00CF2DCB" w:rsidP="003D1A78">
      <w:pPr>
        <w:rPr>
          <w:lang w:val="en-US"/>
        </w:rPr>
      </w:pPr>
      <w:r>
        <w:rPr>
          <w:lang w:val="en-US"/>
        </w:rPr>
        <w:t xml:space="preserve">In this </w:t>
      </w:r>
      <w:proofErr w:type="gramStart"/>
      <w:r>
        <w:rPr>
          <w:lang w:val="en-US"/>
        </w:rPr>
        <w:t>contribution</w:t>
      </w:r>
      <w:proofErr w:type="gramEnd"/>
      <w:r>
        <w:rPr>
          <w:lang w:val="en-US"/>
        </w:rPr>
        <w:t xml:space="preserve"> we focused on the UE OOB</w:t>
      </w:r>
      <w:r w:rsidR="004D2532">
        <w:rPr>
          <w:lang w:val="en-US"/>
        </w:rPr>
        <w:t>B</w:t>
      </w:r>
      <w:r>
        <w:rPr>
          <w:lang w:val="en-US"/>
        </w:rPr>
        <w:t xml:space="preserve"> requirement for range 2 NR. Given current approach adopted for ACS and IBB, we made the following observation and proposals:</w:t>
      </w:r>
    </w:p>
    <w:p w:rsidR="00CF2DCB" w:rsidRDefault="00CF2DCB" w:rsidP="00CF2DCB">
      <w:pPr>
        <w:rPr>
          <w:b/>
          <w:i/>
          <w:lang w:val="en-US"/>
        </w:rPr>
      </w:pPr>
      <w:r>
        <w:rPr>
          <w:b/>
          <w:i/>
          <w:lang w:val="en-US"/>
        </w:rPr>
        <w:t xml:space="preserve">Observation 1: For range 2 NR, </w:t>
      </w:r>
      <w:r w:rsidRPr="002A3105">
        <w:rPr>
          <w:b/>
          <w:i/>
          <w:lang w:val="en-US"/>
        </w:rPr>
        <w:t>the region covered by in-band blocking requirements spans from F</w:t>
      </w:r>
      <w:r w:rsidRPr="002A3105">
        <w:rPr>
          <w:b/>
          <w:i/>
          <w:vertAlign w:val="subscript"/>
          <w:lang w:val="en-US"/>
        </w:rPr>
        <w:t>DL</w:t>
      </w:r>
      <w:r>
        <w:rPr>
          <w:b/>
          <w:i/>
          <w:vertAlign w:val="subscript"/>
          <w:lang w:val="en-US"/>
        </w:rPr>
        <w:t>_</w:t>
      </w:r>
      <w:r w:rsidRPr="002A3105">
        <w:rPr>
          <w:b/>
          <w:i/>
          <w:vertAlign w:val="subscript"/>
          <w:lang w:val="en-US"/>
        </w:rPr>
        <w:t>low</w:t>
      </w:r>
      <w:r w:rsidRPr="002A3105">
        <w:rPr>
          <w:b/>
          <w:i/>
          <w:lang w:val="en-US"/>
        </w:rPr>
        <w:t>-2</w:t>
      </w:r>
      <w:r>
        <w:rPr>
          <w:rFonts w:ascii="Calibri" w:hAnsi="Calibri"/>
          <w:b/>
          <w:i/>
          <w:lang w:val="en-US"/>
        </w:rPr>
        <w:t>∙</w:t>
      </w:r>
      <w:r w:rsidRPr="002A3105">
        <w:rPr>
          <w:b/>
          <w:i/>
          <w:lang w:val="en-US"/>
        </w:rPr>
        <w:t>BW to F</w:t>
      </w:r>
      <w:r w:rsidRPr="002A3105">
        <w:rPr>
          <w:b/>
          <w:i/>
          <w:vertAlign w:val="subscript"/>
          <w:lang w:val="en-US"/>
        </w:rPr>
        <w:t>DL_high</w:t>
      </w:r>
      <w:r w:rsidRPr="002A3105">
        <w:rPr>
          <w:b/>
          <w:i/>
          <w:lang w:val="en-US"/>
        </w:rPr>
        <w:t>+2</w:t>
      </w:r>
      <w:r>
        <w:rPr>
          <w:rFonts w:ascii="Calibri" w:hAnsi="Calibri"/>
          <w:b/>
          <w:i/>
          <w:lang w:val="en-US"/>
        </w:rPr>
        <w:t>∙</w:t>
      </w:r>
      <w:r w:rsidRPr="002A3105">
        <w:rPr>
          <w:b/>
          <w:i/>
          <w:lang w:val="en-US"/>
        </w:rPr>
        <w:t>BW</w:t>
      </w:r>
    </w:p>
    <w:p w:rsidR="00CF2DCB" w:rsidRDefault="00CF2DCB" w:rsidP="00CF2DCB">
      <w:pPr>
        <w:jc w:val="both"/>
        <w:rPr>
          <w:b/>
          <w:i/>
          <w:lang w:val="en-US"/>
        </w:rPr>
      </w:pPr>
      <w:r w:rsidRPr="00071365">
        <w:rPr>
          <w:b/>
          <w:i/>
          <w:lang w:val="en-US"/>
        </w:rPr>
        <w:t>Proposal 1:</w:t>
      </w:r>
      <w:r>
        <w:rPr>
          <w:b/>
          <w:i/>
          <w:lang w:val="en-US"/>
        </w:rPr>
        <w:t xml:space="preserve"> for single carrier NR in Range 2, OOB</w:t>
      </w:r>
      <w:r w:rsidR="004D2532">
        <w:rPr>
          <w:b/>
          <w:i/>
          <w:lang w:val="en-US"/>
        </w:rPr>
        <w:t>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Pr>
          <w:b/>
          <w:i/>
          <w:lang w:val="en-US"/>
        </w:rPr>
        <w:t>.</w:t>
      </w:r>
    </w:p>
    <w:p w:rsidR="00CF2DCB" w:rsidRDefault="00CF2DCB" w:rsidP="00CF2DCB">
      <w:pPr>
        <w:jc w:val="both"/>
        <w:rPr>
          <w:b/>
          <w:i/>
          <w:lang w:val="en-US"/>
        </w:rPr>
      </w:pPr>
      <w:r>
        <w:rPr>
          <w:b/>
          <w:i/>
          <w:lang w:val="en-US"/>
        </w:rPr>
        <w:t>Proposal 2</w:t>
      </w:r>
      <w:r w:rsidRPr="00071365">
        <w:rPr>
          <w:b/>
          <w:i/>
          <w:lang w:val="en-US"/>
        </w:rPr>
        <w:t>:</w:t>
      </w:r>
      <w:r>
        <w:rPr>
          <w:b/>
          <w:i/>
          <w:lang w:val="en-US"/>
        </w:rPr>
        <w:t xml:space="preserve"> for intra-band contiguous CA NR in Range 2, OOB</w:t>
      </w:r>
      <w:r w:rsidR="004D2532">
        <w:rPr>
          <w:b/>
          <w:i/>
          <w:lang w:val="en-US"/>
        </w:rPr>
        <w:t>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w:t>
      </w:r>
      <w:r w:rsidRPr="003F1D92">
        <w:rPr>
          <w:b/>
          <w:i/>
          <w:vertAlign w:val="subscript"/>
          <w:lang w:val="en-US"/>
        </w:rPr>
        <w:t>agg</w:t>
      </w:r>
      <w:r w:rsidRPr="003F1D92">
        <w:rPr>
          <w:b/>
          <w:i/>
          <w:lang w:val="en-US"/>
        </w:rPr>
        <w:t xml:space="preserve">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sidRPr="003F1D92">
        <w:rPr>
          <w:b/>
          <w:i/>
          <w:vertAlign w:val="subscript"/>
          <w:lang w:val="en-US"/>
        </w:rPr>
        <w:t>agg</w:t>
      </w:r>
      <w:r>
        <w:rPr>
          <w:b/>
          <w:i/>
          <w:lang w:val="en-US"/>
        </w:rPr>
        <w:t xml:space="preserve">, where </w:t>
      </w:r>
      <w:proofErr w:type="spellStart"/>
      <w:r w:rsidRPr="003F1D92">
        <w:rPr>
          <w:b/>
          <w:i/>
          <w:lang w:val="en-US"/>
        </w:rPr>
        <w:t>BW</w:t>
      </w:r>
      <w:r w:rsidRPr="003F1D92">
        <w:rPr>
          <w:b/>
          <w:i/>
          <w:vertAlign w:val="subscript"/>
          <w:lang w:val="en-US"/>
        </w:rPr>
        <w:t>agg</w:t>
      </w:r>
      <w:proofErr w:type="spellEnd"/>
      <w:r>
        <w:rPr>
          <w:b/>
          <w:i/>
          <w:lang w:val="en-US"/>
        </w:rPr>
        <w:t xml:space="preserve"> is the aggregated channel BW.</w:t>
      </w:r>
    </w:p>
    <w:p w:rsidR="00CF2DCB" w:rsidRDefault="00CF2DCB" w:rsidP="00CF2DCB">
      <w:pPr>
        <w:jc w:val="both"/>
        <w:rPr>
          <w:b/>
          <w:i/>
          <w:lang w:val="en-US"/>
        </w:rPr>
      </w:pPr>
      <w:r>
        <w:rPr>
          <w:b/>
          <w:i/>
          <w:lang w:val="en-US"/>
        </w:rPr>
        <w:t>Proposal 3</w:t>
      </w:r>
      <w:r w:rsidRPr="00071365">
        <w:rPr>
          <w:b/>
          <w:i/>
          <w:lang w:val="en-US"/>
        </w:rPr>
        <w:t>:</w:t>
      </w:r>
      <w:r>
        <w:rPr>
          <w:b/>
          <w:i/>
          <w:lang w:val="en-US"/>
        </w:rPr>
        <w:t xml:space="preserve"> for intra-band non-contiguous CA NR in Range 2, OOB</w:t>
      </w:r>
      <w:r w:rsidR="004D2532">
        <w:rPr>
          <w:b/>
          <w:i/>
          <w:lang w:val="en-US"/>
        </w:rPr>
        <w:t>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w:t>
      </w:r>
      <w:r>
        <w:rPr>
          <w:b/>
          <w:i/>
          <w:vertAlign w:val="subscript"/>
          <w:lang w:val="en-US"/>
        </w:rPr>
        <w:t>max</w:t>
      </w:r>
      <w:r w:rsidRPr="003F1D92">
        <w:rPr>
          <w:b/>
          <w:i/>
          <w:lang w:val="en-US"/>
        </w:rPr>
        <w:t xml:space="preserve">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Pr>
          <w:b/>
          <w:i/>
          <w:vertAlign w:val="subscript"/>
          <w:lang w:val="en-US"/>
        </w:rPr>
        <w:t>max</w:t>
      </w:r>
      <w:r>
        <w:rPr>
          <w:b/>
          <w:i/>
          <w:lang w:val="en-US"/>
        </w:rPr>
        <w:t xml:space="preserve">, where </w:t>
      </w:r>
      <w:proofErr w:type="spellStart"/>
      <w:r w:rsidRPr="003F1D92">
        <w:rPr>
          <w:b/>
          <w:i/>
          <w:lang w:val="en-US"/>
        </w:rPr>
        <w:t>BW</w:t>
      </w:r>
      <w:r>
        <w:rPr>
          <w:b/>
          <w:i/>
          <w:vertAlign w:val="subscript"/>
          <w:lang w:val="en-US"/>
        </w:rPr>
        <w:t>max</w:t>
      </w:r>
      <w:proofErr w:type="spellEnd"/>
      <w:r>
        <w:rPr>
          <w:b/>
          <w:i/>
          <w:lang w:val="en-US"/>
        </w:rPr>
        <w:t xml:space="preserve"> is the largest channel BW across the component carriers.</w:t>
      </w:r>
    </w:p>
    <w:p w:rsidR="00CF2DCB" w:rsidRDefault="00CF2DCB" w:rsidP="00CF2DCB">
      <w:pPr>
        <w:jc w:val="both"/>
        <w:rPr>
          <w:b/>
          <w:i/>
          <w:lang w:val="en-US"/>
        </w:rPr>
      </w:pPr>
      <w:r w:rsidRPr="00071365">
        <w:rPr>
          <w:b/>
          <w:i/>
          <w:lang w:val="en-US"/>
        </w:rPr>
        <w:t xml:space="preserve">Proposal </w:t>
      </w:r>
      <w:r>
        <w:rPr>
          <w:b/>
          <w:i/>
          <w:lang w:val="en-US"/>
        </w:rPr>
        <w:t>4</w:t>
      </w:r>
      <w:r w:rsidRPr="00071365">
        <w:rPr>
          <w:b/>
          <w:i/>
          <w:lang w:val="en-US"/>
        </w:rPr>
        <w:t>:</w:t>
      </w:r>
      <w:r>
        <w:rPr>
          <w:b/>
          <w:i/>
          <w:lang w:val="en-US"/>
        </w:rPr>
        <w:t xml:space="preserve"> for inter-band CA NR in Range 2, OOB</w:t>
      </w:r>
      <w:r w:rsidR="004D2532">
        <w:rPr>
          <w:b/>
          <w:i/>
          <w:lang w:val="en-US"/>
        </w:rPr>
        <w:t>B</w:t>
      </w:r>
      <w:r>
        <w:rPr>
          <w:b/>
          <w:i/>
          <w:lang w:val="en-US"/>
        </w:rPr>
        <w:t xml:space="preserve"> receiver requirements are defined below </w:t>
      </w:r>
      <w:r w:rsidRPr="003F1D92">
        <w:rPr>
          <w:b/>
          <w:i/>
          <w:lang w:val="en-US"/>
        </w:rPr>
        <w:t>F</w:t>
      </w:r>
      <w:r w:rsidRPr="003F1D92">
        <w:rPr>
          <w:b/>
          <w:i/>
          <w:vertAlign w:val="subscript"/>
          <w:lang w:val="en-US"/>
        </w:rPr>
        <w:t>DL_low</w:t>
      </w:r>
      <w:r w:rsidRPr="003F1D92">
        <w:rPr>
          <w:b/>
          <w:i/>
          <w:lang w:val="en-US"/>
        </w:rPr>
        <w:t>-2</w:t>
      </w:r>
      <w:r w:rsidRPr="003F1D92">
        <w:rPr>
          <w:rFonts w:ascii="Calibri" w:hAnsi="Calibri"/>
          <w:b/>
          <w:i/>
          <w:lang w:val="en-US"/>
        </w:rPr>
        <w:t>∙</w:t>
      </w:r>
      <w:r w:rsidRPr="003F1D92">
        <w:rPr>
          <w:b/>
          <w:i/>
          <w:lang w:val="en-US"/>
        </w:rPr>
        <w:t>BW and above F</w:t>
      </w:r>
      <w:r w:rsidRPr="003F1D92">
        <w:rPr>
          <w:b/>
          <w:i/>
          <w:vertAlign w:val="subscript"/>
          <w:lang w:val="en-US"/>
        </w:rPr>
        <w:t>DL_high</w:t>
      </w:r>
      <w:r w:rsidRPr="003F1D92">
        <w:rPr>
          <w:b/>
          <w:i/>
          <w:lang w:val="en-US"/>
        </w:rPr>
        <w:t>+2</w:t>
      </w:r>
      <w:r w:rsidRPr="003F1D92">
        <w:rPr>
          <w:rFonts w:ascii="Calibri" w:hAnsi="Calibri"/>
          <w:b/>
          <w:i/>
          <w:lang w:val="en-US"/>
        </w:rPr>
        <w:t>∙</w:t>
      </w:r>
      <w:r w:rsidRPr="003F1D92">
        <w:rPr>
          <w:b/>
          <w:i/>
          <w:lang w:val="en-US"/>
        </w:rPr>
        <w:t>BW</w:t>
      </w:r>
      <w:r>
        <w:rPr>
          <w:b/>
          <w:i/>
          <w:lang w:val="en-US"/>
        </w:rPr>
        <w:t xml:space="preserve"> and apply to each component carrier.</w:t>
      </w:r>
    </w:p>
    <w:p w:rsidR="00CF2DCB" w:rsidRDefault="00CF2DCB" w:rsidP="00CF2DCB">
      <w:pPr>
        <w:jc w:val="both"/>
        <w:rPr>
          <w:lang w:val="en-US"/>
        </w:rPr>
      </w:pPr>
      <w:r>
        <w:rPr>
          <w:lang w:val="en-US"/>
        </w:rPr>
        <w:lastRenderedPageBreak/>
        <w:t>We also discussed the OOB jammer level for protection against fixed services, which are considered typical systems operating in mmW. Based on a simple minimum coupling loss analysis, we made the following observation and proposals:</w:t>
      </w:r>
    </w:p>
    <w:p w:rsidR="00CF2DCB" w:rsidRDefault="00CF2DCB" w:rsidP="00CF2DCB">
      <w:pPr>
        <w:jc w:val="both"/>
        <w:rPr>
          <w:b/>
          <w:i/>
        </w:rPr>
      </w:pPr>
      <w:r>
        <w:rPr>
          <w:b/>
          <w:i/>
        </w:rPr>
        <w:t>Observation 2: UE blocking requirement for protection against fixed services should be in the -50~-45dBm ballpark.</w:t>
      </w:r>
    </w:p>
    <w:p w:rsidR="00CF2DCB" w:rsidRDefault="00CF2DCB" w:rsidP="00CF2DCB">
      <w:pPr>
        <w:jc w:val="both"/>
      </w:pPr>
      <w:r>
        <w:t>However, whether this requirement is needed or not should be further discussed.</w:t>
      </w:r>
    </w:p>
    <w:p w:rsidR="005D50DD" w:rsidRDefault="005D50DD" w:rsidP="005D50DD">
      <w:pPr>
        <w:jc w:val="both"/>
        <w:rPr>
          <w:b/>
          <w:i/>
        </w:rPr>
      </w:pPr>
      <w:r w:rsidRPr="00CD0574">
        <w:rPr>
          <w:b/>
          <w:i/>
        </w:rPr>
        <w:t xml:space="preserve">Proposal 5: </w:t>
      </w:r>
      <w:r>
        <w:rPr>
          <w:b/>
          <w:i/>
        </w:rPr>
        <w:t>In RAN4 NR Ad Hoc #4, it should be decided whether UE OOB blocking requirements for Range 2 NR is needed.</w:t>
      </w:r>
    </w:p>
    <w:p w:rsidR="00CF2DCB" w:rsidRDefault="00CF2DCB" w:rsidP="00CF2DCB">
      <w:pPr>
        <w:jc w:val="both"/>
      </w:pPr>
      <w:r>
        <w:t xml:space="preserve">In case RAN4 decides that an OOB blocking requirement is needed, similarly to what done for LTE, the exception for spurious response frequencies should also </w:t>
      </w:r>
      <w:r w:rsidR="002B0373">
        <w:t xml:space="preserve">be </w:t>
      </w:r>
      <w:r>
        <w:t>discussed. In particular, number of exceptions and spurious response should be decided together with the OOB blocking requirement.</w:t>
      </w:r>
    </w:p>
    <w:p w:rsidR="00CF2DCB" w:rsidRDefault="00CF2DCB" w:rsidP="00CF2DCB">
      <w:pPr>
        <w:jc w:val="both"/>
        <w:rPr>
          <w:b/>
          <w:i/>
        </w:rPr>
      </w:pPr>
      <w:r>
        <w:rPr>
          <w:b/>
          <w:i/>
        </w:rPr>
        <w:t>Proposal 6</w:t>
      </w:r>
      <w:r w:rsidRPr="00CD0574">
        <w:rPr>
          <w:b/>
          <w:i/>
        </w:rPr>
        <w:t xml:space="preserve">: </w:t>
      </w:r>
      <w:r>
        <w:rPr>
          <w:b/>
          <w:i/>
        </w:rPr>
        <w:t>If RAN4 decides to define an OOB blocking requirement for range 2, the requirements should be defined by considering the number of exception for spurious response and the spurious response requirement.</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A00C86" w:rsidRPr="00B07AD2" w:rsidRDefault="00A00C86" w:rsidP="00A00C86">
      <w:pPr>
        <w:pStyle w:val="ListParagraph"/>
        <w:numPr>
          <w:ilvl w:val="0"/>
          <w:numId w:val="2"/>
        </w:numPr>
        <w:spacing w:after="160" w:line="259" w:lineRule="auto"/>
      </w:pPr>
      <w:bookmarkStart w:id="6" w:name="_Ref498690905"/>
      <w:bookmarkStart w:id="7" w:name="_Ref498002920"/>
      <w:r w:rsidRPr="00B07AD2">
        <w:t>R4-1706063, “WF on mmW ACLR and ACS”, Qualcomm Incorporated, Huawei.</w:t>
      </w:r>
      <w:bookmarkEnd w:id="7"/>
    </w:p>
    <w:p w:rsidR="00A00C86" w:rsidRDefault="00A00C86" w:rsidP="00A00C86">
      <w:pPr>
        <w:pStyle w:val="ListParagraph"/>
        <w:numPr>
          <w:ilvl w:val="0"/>
          <w:numId w:val="2"/>
        </w:numPr>
        <w:jc w:val="both"/>
        <w:rPr>
          <w:lang w:val="en-US"/>
        </w:rPr>
      </w:pPr>
      <w:bookmarkStart w:id="8" w:name="_Ref498001918"/>
      <w:r w:rsidRPr="00D75565">
        <w:rPr>
          <w:lang w:val="en-US"/>
        </w:rPr>
        <w:t>R4-1711399</w:t>
      </w:r>
      <w:r>
        <w:rPr>
          <w:lang w:val="en-US"/>
        </w:rPr>
        <w:t>,</w:t>
      </w:r>
      <w:r w:rsidRPr="00D75565">
        <w:rPr>
          <w:lang w:val="en-US"/>
        </w:rPr>
        <w:t xml:space="preserve"> </w:t>
      </w:r>
      <w:r>
        <w:rPr>
          <w:lang w:val="en-US"/>
        </w:rPr>
        <w:t>“</w:t>
      </w:r>
      <w:r w:rsidRPr="00D75565">
        <w:rPr>
          <w:lang w:val="en-US"/>
        </w:rPr>
        <w:t>Finalization of UE IBB requirement for mmW</w:t>
      </w:r>
      <w:r>
        <w:rPr>
          <w:lang w:val="en-US"/>
        </w:rPr>
        <w:t>”, Qualcomm Incorporated.</w:t>
      </w:r>
      <w:bookmarkEnd w:id="8"/>
    </w:p>
    <w:p w:rsidR="00A00C86" w:rsidRDefault="00A00C86" w:rsidP="00A00C86">
      <w:pPr>
        <w:pStyle w:val="ListParagraph"/>
        <w:numPr>
          <w:ilvl w:val="0"/>
          <w:numId w:val="2"/>
        </w:numPr>
        <w:spacing w:after="160" w:line="259" w:lineRule="auto"/>
        <w:jc w:val="both"/>
      </w:pPr>
      <w:bookmarkStart w:id="9" w:name="_Ref498004167"/>
      <w:r w:rsidRPr="00B90259">
        <w:t>R4-1711979</w:t>
      </w:r>
      <w:r w:rsidRPr="00B07AD2">
        <w:t>, “</w:t>
      </w:r>
      <w:r>
        <w:t xml:space="preserve">3GPP </w:t>
      </w:r>
      <w:r w:rsidRPr="00B07AD2">
        <w:t>TS 38.101-2 v0.1.0 (2017-10)”.</w:t>
      </w:r>
      <w:bookmarkEnd w:id="9"/>
    </w:p>
    <w:p w:rsidR="00A00C86" w:rsidRDefault="00A00C86" w:rsidP="00A00C86">
      <w:pPr>
        <w:pStyle w:val="ListParagraph"/>
        <w:numPr>
          <w:ilvl w:val="0"/>
          <w:numId w:val="2"/>
        </w:numPr>
        <w:spacing w:after="160" w:line="259" w:lineRule="auto"/>
        <w:jc w:val="both"/>
      </w:pPr>
      <w:bookmarkStart w:id="10" w:name="_Ref498707653"/>
      <w:r w:rsidRPr="00A00C86">
        <w:t>R4-1713637</w:t>
      </w:r>
      <w:r>
        <w:t>,</w:t>
      </w:r>
      <w:r w:rsidRPr="00A00C86">
        <w:t xml:space="preserve"> </w:t>
      </w:r>
      <w:r>
        <w:t>“T</w:t>
      </w:r>
      <w:r w:rsidRPr="00A00C86">
        <w:t>P to TS 38.101-2 ACS requirement for mmW (section 7.5)</w:t>
      </w:r>
      <w:r>
        <w:t>”, Qualcomm Incorporated.</w:t>
      </w:r>
      <w:bookmarkEnd w:id="10"/>
    </w:p>
    <w:p w:rsidR="00A00C86" w:rsidRPr="008C433C" w:rsidRDefault="00A00C86" w:rsidP="00A00C86">
      <w:pPr>
        <w:pStyle w:val="ListParagraph"/>
        <w:numPr>
          <w:ilvl w:val="0"/>
          <w:numId w:val="2"/>
        </w:numPr>
        <w:spacing w:after="160" w:line="259" w:lineRule="auto"/>
        <w:jc w:val="both"/>
      </w:pPr>
      <w:bookmarkStart w:id="11" w:name="_Ref498707655"/>
      <w:r w:rsidRPr="00A00C86">
        <w:t>R4-171363</w:t>
      </w:r>
      <w:r>
        <w:t>8</w:t>
      </w:r>
      <w:r>
        <w:t>,</w:t>
      </w:r>
      <w:r w:rsidRPr="00A00C86">
        <w:t xml:space="preserve"> </w:t>
      </w:r>
      <w:r>
        <w:t>“T</w:t>
      </w:r>
      <w:r w:rsidRPr="00A00C86">
        <w:t xml:space="preserve">P to TS 38.101-2 </w:t>
      </w:r>
      <w:r>
        <w:t>IBB</w:t>
      </w:r>
      <w:r w:rsidRPr="00A00C86">
        <w:t xml:space="preserve"> requirement for mmW (section 7.</w:t>
      </w:r>
      <w:r>
        <w:t>6.1</w:t>
      </w:r>
      <w:r w:rsidRPr="00A00C86">
        <w:t>)</w:t>
      </w:r>
      <w:r>
        <w:t>”, Qualcomm Incorporated.</w:t>
      </w:r>
      <w:bookmarkEnd w:id="11"/>
    </w:p>
    <w:p w:rsidR="00D86250" w:rsidRDefault="00D86250" w:rsidP="00784F0B">
      <w:pPr>
        <w:pStyle w:val="ListParagraph"/>
        <w:numPr>
          <w:ilvl w:val="0"/>
          <w:numId w:val="2"/>
        </w:numPr>
        <w:spacing w:after="160" w:line="259" w:lineRule="auto"/>
      </w:pPr>
      <w:bookmarkStart w:id="12" w:name="_Ref498719657"/>
      <w:r>
        <w:t>R4-1705204, “Definitions for mmW blockers”, Qualcomm Incorporated.</w:t>
      </w:r>
      <w:bookmarkEnd w:id="6"/>
      <w:bookmarkEnd w:id="12"/>
    </w:p>
    <w:p w:rsidR="00D86250" w:rsidRPr="00002592" w:rsidRDefault="00D86250" w:rsidP="0012190F">
      <w:pPr>
        <w:pStyle w:val="ListParagraph"/>
        <w:numPr>
          <w:ilvl w:val="0"/>
          <w:numId w:val="2"/>
        </w:numPr>
        <w:spacing w:after="160" w:line="259" w:lineRule="auto"/>
        <w:rPr>
          <w:lang w:val="en-US"/>
        </w:rPr>
      </w:pPr>
      <w:bookmarkStart w:id="13" w:name="_Ref498690907"/>
      <w:r>
        <w:t>R4-1703109, “OBB Blocking Discussion mmW 5G NR”, Qualcomm Incorporated.</w:t>
      </w:r>
      <w:bookmarkEnd w:id="13"/>
    </w:p>
    <w:p w:rsidR="00002592" w:rsidRPr="00AD2262" w:rsidRDefault="00002592" w:rsidP="00002592">
      <w:pPr>
        <w:pStyle w:val="ListParagraph"/>
        <w:numPr>
          <w:ilvl w:val="0"/>
          <w:numId w:val="2"/>
        </w:numPr>
      </w:pPr>
      <w:bookmarkStart w:id="14" w:name="_Ref498690908"/>
      <w:r>
        <w:rPr>
          <w:rFonts w:hint="eastAsia"/>
        </w:rPr>
        <w:t xml:space="preserve">R4-1707510, </w:t>
      </w:r>
      <w:r>
        <w:t>“</w:t>
      </w:r>
      <w:r w:rsidRPr="00E9094A">
        <w:rPr>
          <w:rFonts w:hint="eastAsia"/>
        </w:rPr>
        <w:t>Out-of-band blocking around 28 GHz</w:t>
      </w:r>
      <w:r>
        <w:t>”, NTT DOCOMO INC.</w:t>
      </w:r>
      <w:bookmarkEnd w:id="14"/>
      <w:r>
        <w:rPr>
          <w:rFonts w:hint="eastAsia"/>
        </w:rPr>
        <w:t xml:space="preserve"> </w:t>
      </w:r>
    </w:p>
    <w:p w:rsidR="005B0F9F" w:rsidRPr="00D86250" w:rsidRDefault="00D86250" w:rsidP="0012190F">
      <w:pPr>
        <w:pStyle w:val="ListParagraph"/>
        <w:numPr>
          <w:ilvl w:val="0"/>
          <w:numId w:val="2"/>
        </w:numPr>
        <w:spacing w:after="160" w:line="259" w:lineRule="auto"/>
        <w:rPr>
          <w:lang w:val="en-US"/>
        </w:rPr>
      </w:pPr>
      <w:bookmarkStart w:id="15" w:name="_Ref498692143"/>
      <w:r>
        <w:t>R4-1609756, “Out-of-band blockers in the mm-wave spectrum”, Qualcomm Incorporated.</w:t>
      </w:r>
      <w:bookmarkEnd w:id="15"/>
    </w:p>
    <w:p w:rsidR="00D86250" w:rsidRDefault="00002592" w:rsidP="00002592">
      <w:pPr>
        <w:pStyle w:val="ListParagraph"/>
        <w:numPr>
          <w:ilvl w:val="0"/>
          <w:numId w:val="2"/>
        </w:numPr>
        <w:spacing w:after="160" w:line="259" w:lineRule="auto"/>
        <w:rPr>
          <w:lang w:val="en-US"/>
        </w:rPr>
      </w:pPr>
      <w:bookmarkStart w:id="16" w:name="_Ref498692146"/>
      <w:r w:rsidRPr="00002592">
        <w:rPr>
          <w:lang w:val="en-US"/>
        </w:rPr>
        <w:t>R4-1709469</w:t>
      </w:r>
      <w:r>
        <w:rPr>
          <w:lang w:val="en-US"/>
        </w:rPr>
        <w:t>, “</w:t>
      </w:r>
      <w:r w:rsidRPr="00002592">
        <w:rPr>
          <w:lang w:val="en-US"/>
        </w:rPr>
        <w:t>Potential jammer system in 28GHz OOB range for Region 3</w:t>
      </w:r>
      <w:r>
        <w:rPr>
          <w:lang w:val="en-US"/>
        </w:rPr>
        <w:t>”, Samsung.</w:t>
      </w:r>
      <w:bookmarkEnd w:id="16"/>
    </w:p>
    <w:p w:rsidR="00D40E0B" w:rsidRDefault="00D40E0B" w:rsidP="00002592">
      <w:pPr>
        <w:pStyle w:val="ListParagraph"/>
        <w:numPr>
          <w:ilvl w:val="0"/>
          <w:numId w:val="2"/>
        </w:numPr>
        <w:spacing w:after="160" w:line="259" w:lineRule="auto"/>
        <w:rPr>
          <w:lang w:val="en-US"/>
        </w:rPr>
      </w:pPr>
      <w:bookmarkStart w:id="17" w:name="_Ref498693551"/>
      <w:r>
        <w:rPr>
          <w:lang w:val="en-US"/>
        </w:rPr>
        <w:t xml:space="preserve">CEPT SE19, “LS to ECC PT-1 on </w:t>
      </w:r>
      <w:r w:rsidR="0094765C">
        <w:rPr>
          <w:rFonts w:cs="Arial"/>
          <w:lang w:val="en-US"/>
        </w:rPr>
        <w:t>Parameters for P-MP systems of the Fixed service in 26 GHz</w:t>
      </w:r>
      <w:r>
        <w:rPr>
          <w:lang w:val="en-US"/>
        </w:rPr>
        <w:t>”</w:t>
      </w:r>
      <w:r w:rsidR="0094765C">
        <w:rPr>
          <w:lang w:val="en-US"/>
        </w:rPr>
        <w:t>, Doc SE19(17) 43 Annex 3.</w:t>
      </w:r>
      <w:bookmarkEnd w:id="17"/>
    </w:p>
    <w:p w:rsidR="00F23D65" w:rsidRDefault="00F23D65" w:rsidP="00002592">
      <w:pPr>
        <w:pStyle w:val="ListParagraph"/>
        <w:numPr>
          <w:ilvl w:val="0"/>
          <w:numId w:val="2"/>
        </w:numPr>
        <w:spacing w:after="160" w:line="259" w:lineRule="auto"/>
        <w:rPr>
          <w:lang w:val="en-US"/>
        </w:rPr>
      </w:pPr>
      <w:bookmarkStart w:id="18" w:name="_Ref498696983"/>
      <w:r>
        <w:rPr>
          <w:lang w:val="en-US"/>
        </w:rPr>
        <w:t>ERC Report 25, “</w:t>
      </w:r>
      <w:r>
        <w:t>THE EUROPEAN TABLE OF FREQUENCY ALLOCATIONS AND APPLICATIONS IN THE FREQUENCY RANGE 8.3 kHz to 3000 GHz (ECA TABLE)</w:t>
      </w:r>
      <w:r>
        <w:rPr>
          <w:lang w:val="en-US"/>
        </w:rPr>
        <w:t>”.</w:t>
      </w:r>
      <w:bookmarkEnd w:id="18"/>
    </w:p>
    <w:p w:rsidR="00F23D65" w:rsidRDefault="00F23D65" w:rsidP="00002592">
      <w:pPr>
        <w:pStyle w:val="ListParagraph"/>
        <w:numPr>
          <w:ilvl w:val="0"/>
          <w:numId w:val="2"/>
        </w:numPr>
        <w:spacing w:after="160" w:line="259" w:lineRule="auto"/>
        <w:rPr>
          <w:lang w:val="en-US"/>
        </w:rPr>
      </w:pPr>
      <w:bookmarkStart w:id="19" w:name="_Ref498696985"/>
      <w:r>
        <w:rPr>
          <w:lang w:val="en-US"/>
        </w:rPr>
        <w:t>EN 302 217, “</w:t>
      </w:r>
      <w:r>
        <w:t>Fixed Radio Systems; Characteristics and requirements for point-to-point equipment and antennas; Part 2: Digital systems operating in frequency bands from 1,3 GHz to 86 GHz; Harmonised Standard covering the essential requirements of article 3.2 of Directive 2014/53/EU</w:t>
      </w:r>
      <w:r>
        <w:rPr>
          <w:lang w:val="en-US"/>
        </w:rPr>
        <w:t>”.</w:t>
      </w:r>
      <w:bookmarkEnd w:id="19"/>
    </w:p>
    <w:p w:rsidR="00D044FA" w:rsidRDefault="00D044FA" w:rsidP="00385458">
      <w:pPr>
        <w:pStyle w:val="ListParagraph"/>
        <w:numPr>
          <w:ilvl w:val="0"/>
          <w:numId w:val="2"/>
        </w:numPr>
        <w:spacing w:after="160" w:line="259" w:lineRule="auto"/>
        <w:rPr>
          <w:lang w:val="en-US"/>
        </w:rPr>
      </w:pPr>
      <w:bookmarkStart w:id="20" w:name="_Ref498697877"/>
      <w:r w:rsidRPr="00D044FA">
        <w:rPr>
          <w:lang w:val="en-US"/>
        </w:rPr>
        <w:t>CEPT PT1, “Working Document on the</w:t>
      </w:r>
      <w:r>
        <w:rPr>
          <w:lang w:val="en-US"/>
        </w:rPr>
        <w:t xml:space="preserve"> </w:t>
      </w:r>
      <w:r w:rsidRPr="00D044FA">
        <w:rPr>
          <w:lang w:val="en-US"/>
        </w:rPr>
        <w:t>“Studies on coexistence between Fixed Links (point to point and point to multi-point) and IMT2020 in the frequency band 24.25-27.5 GHz and adjacent bands”</w:t>
      </w:r>
      <w:r>
        <w:rPr>
          <w:lang w:val="en-US"/>
        </w:rPr>
        <w:t>.</w:t>
      </w:r>
      <w:bookmarkEnd w:id="20"/>
    </w:p>
    <w:p w:rsidR="00D044FA" w:rsidRPr="00BB51CB" w:rsidRDefault="00D044FA" w:rsidP="00B12CBF">
      <w:pPr>
        <w:pStyle w:val="ListParagraph"/>
        <w:numPr>
          <w:ilvl w:val="0"/>
          <w:numId w:val="2"/>
        </w:numPr>
        <w:spacing w:after="160" w:line="259" w:lineRule="auto"/>
        <w:rPr>
          <w:lang w:val="en-US"/>
        </w:rPr>
      </w:pPr>
      <w:bookmarkStart w:id="21" w:name="_Ref498698198"/>
      <w:r w:rsidRPr="00BB51CB">
        <w:rPr>
          <w:lang w:val="en-US"/>
        </w:rPr>
        <w:t>ITU-R Recommendation F.699</w:t>
      </w:r>
      <w:r w:rsidR="00BB51CB" w:rsidRPr="00BB51CB">
        <w:rPr>
          <w:lang w:val="en-US"/>
        </w:rPr>
        <w:t>-7 (04/2006), “Reference radiation patterns for fixed wireless system antennas for use in coordination studies and interference assessment in the frequency range from 100 MHz to about 70 GHz”.</w:t>
      </w:r>
      <w:bookmarkEnd w:id="21"/>
      <w:r w:rsidRPr="00BB51CB">
        <w:rPr>
          <w:lang w:val="en-US"/>
        </w:rPr>
        <w:t xml:space="preserve">  </w:t>
      </w:r>
    </w:p>
    <w:sectPr w:rsidR="00D044FA" w:rsidRPr="00BB51CB"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62B" w:rsidRDefault="00FC162B">
      <w:r>
        <w:separator/>
      </w:r>
    </w:p>
  </w:endnote>
  <w:endnote w:type="continuationSeparator" w:id="0">
    <w:p w:rsidR="00FC162B" w:rsidRDefault="00FC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813B9" w:rsidRDefault="00081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394B">
      <w:rPr>
        <w:rStyle w:val="PageNumber"/>
      </w:rPr>
      <w:t>5</w:t>
    </w:r>
    <w:r>
      <w:rPr>
        <w:rStyle w:val="PageNumber"/>
      </w:rPr>
      <w:fldChar w:fldCharType="end"/>
    </w:r>
  </w:p>
  <w:p w:rsidR="000813B9" w:rsidRDefault="000813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62B" w:rsidRDefault="00FC162B">
      <w:r>
        <w:separator/>
      </w:r>
    </w:p>
  </w:footnote>
  <w:footnote w:type="continuationSeparator" w:id="0">
    <w:p w:rsidR="00FC162B" w:rsidRDefault="00FC1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D01775"/>
    <w:multiLevelType w:val="hybridMultilevel"/>
    <w:tmpl w:val="1E5C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50B239C"/>
    <w:multiLevelType w:val="hybridMultilevel"/>
    <w:tmpl w:val="84D2E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9"/>
  </w:num>
  <w:num w:numId="3">
    <w:abstractNumId w:val="34"/>
  </w:num>
  <w:num w:numId="4">
    <w:abstractNumId w:val="37"/>
  </w:num>
  <w:num w:numId="5">
    <w:abstractNumId w:val="27"/>
  </w:num>
  <w:num w:numId="6">
    <w:abstractNumId w:val="14"/>
  </w:num>
  <w:num w:numId="7">
    <w:abstractNumId w:val="6"/>
  </w:num>
  <w:num w:numId="8">
    <w:abstractNumId w:val="32"/>
  </w:num>
  <w:num w:numId="9">
    <w:abstractNumId w:val="16"/>
  </w:num>
  <w:num w:numId="10">
    <w:abstractNumId w:val="24"/>
  </w:num>
  <w:num w:numId="11">
    <w:abstractNumId w:val="38"/>
  </w:num>
  <w:num w:numId="12">
    <w:abstractNumId w:val="5"/>
  </w:num>
  <w:num w:numId="13">
    <w:abstractNumId w:val="4"/>
  </w:num>
  <w:num w:numId="14">
    <w:abstractNumId w:val="19"/>
  </w:num>
  <w:num w:numId="15">
    <w:abstractNumId w:val="23"/>
  </w:num>
  <w:num w:numId="16">
    <w:abstractNumId w:val="11"/>
  </w:num>
  <w:num w:numId="17">
    <w:abstractNumId w:val="36"/>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3"/>
  </w:num>
  <w:num w:numId="26">
    <w:abstractNumId w:val="18"/>
  </w:num>
  <w:num w:numId="27">
    <w:abstractNumId w:val="35"/>
  </w:num>
  <w:num w:numId="28">
    <w:abstractNumId w:val="28"/>
  </w:num>
  <w:num w:numId="29">
    <w:abstractNumId w:val="3"/>
  </w:num>
  <w:num w:numId="30">
    <w:abstractNumId w:val="26"/>
  </w:num>
  <w:num w:numId="31">
    <w:abstractNumId w:val="8"/>
  </w:num>
  <w:num w:numId="32">
    <w:abstractNumId w:val="25"/>
  </w:num>
  <w:num w:numId="33">
    <w:abstractNumId w:val="31"/>
  </w:num>
  <w:num w:numId="34">
    <w:abstractNumId w:val="7"/>
  </w:num>
  <w:num w:numId="35">
    <w:abstractNumId w:val="21"/>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0"/>
  </w:num>
  <w:num w:numId="38">
    <w:abstractNumId w:val="17"/>
  </w:num>
  <w:num w:numId="3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592"/>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65"/>
    <w:rsid w:val="000724BF"/>
    <w:rsid w:val="000731FD"/>
    <w:rsid w:val="00073468"/>
    <w:rsid w:val="000737DA"/>
    <w:rsid w:val="000753CE"/>
    <w:rsid w:val="0007555F"/>
    <w:rsid w:val="000769D9"/>
    <w:rsid w:val="00076DB9"/>
    <w:rsid w:val="00077FE0"/>
    <w:rsid w:val="00080292"/>
    <w:rsid w:val="000813B9"/>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5A"/>
    <w:rsid w:val="000B2203"/>
    <w:rsid w:val="000B24B0"/>
    <w:rsid w:val="000B2A42"/>
    <w:rsid w:val="000B2EFB"/>
    <w:rsid w:val="000B327D"/>
    <w:rsid w:val="000B36FC"/>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DC6"/>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568"/>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0A"/>
    <w:rsid w:val="00270F79"/>
    <w:rsid w:val="0027136E"/>
    <w:rsid w:val="0027200F"/>
    <w:rsid w:val="00272474"/>
    <w:rsid w:val="002728BF"/>
    <w:rsid w:val="002729C7"/>
    <w:rsid w:val="00272CAE"/>
    <w:rsid w:val="002732DD"/>
    <w:rsid w:val="002739D3"/>
    <w:rsid w:val="00274205"/>
    <w:rsid w:val="0027453E"/>
    <w:rsid w:val="0027459A"/>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105"/>
    <w:rsid w:val="002A3BFD"/>
    <w:rsid w:val="002A4F99"/>
    <w:rsid w:val="002A5A2D"/>
    <w:rsid w:val="002A679B"/>
    <w:rsid w:val="002A6ED0"/>
    <w:rsid w:val="002A7AD7"/>
    <w:rsid w:val="002B02CB"/>
    <w:rsid w:val="002B0373"/>
    <w:rsid w:val="002B05C7"/>
    <w:rsid w:val="002B11FF"/>
    <w:rsid w:val="002B1AB8"/>
    <w:rsid w:val="002B1C8F"/>
    <w:rsid w:val="002B2990"/>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6234"/>
    <w:rsid w:val="002C7B2B"/>
    <w:rsid w:val="002C7C8C"/>
    <w:rsid w:val="002C7CC0"/>
    <w:rsid w:val="002D087B"/>
    <w:rsid w:val="002D0BCE"/>
    <w:rsid w:val="002D0C99"/>
    <w:rsid w:val="002D1DB1"/>
    <w:rsid w:val="002D2365"/>
    <w:rsid w:val="002D239E"/>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1D92"/>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A3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2532"/>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3B8"/>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2E72"/>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0DD"/>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394B"/>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4E94"/>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D77EA"/>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2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236"/>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65C"/>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C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5B2"/>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3D6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33"/>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668"/>
    <w:rsid w:val="00BB073C"/>
    <w:rsid w:val="00BB09C2"/>
    <w:rsid w:val="00BB0E3E"/>
    <w:rsid w:val="00BB1770"/>
    <w:rsid w:val="00BB1E35"/>
    <w:rsid w:val="00BB27D6"/>
    <w:rsid w:val="00BB28E2"/>
    <w:rsid w:val="00BB3CF1"/>
    <w:rsid w:val="00BB46FD"/>
    <w:rsid w:val="00BB4870"/>
    <w:rsid w:val="00BB4A68"/>
    <w:rsid w:val="00BB4D50"/>
    <w:rsid w:val="00BB51CB"/>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574"/>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2DCB"/>
    <w:rsid w:val="00CF31CC"/>
    <w:rsid w:val="00CF4067"/>
    <w:rsid w:val="00CF53F3"/>
    <w:rsid w:val="00CF547E"/>
    <w:rsid w:val="00CF5594"/>
    <w:rsid w:val="00CF5FDE"/>
    <w:rsid w:val="00CF648C"/>
    <w:rsid w:val="00CF65B9"/>
    <w:rsid w:val="00CF6603"/>
    <w:rsid w:val="00CF69C5"/>
    <w:rsid w:val="00CF7D73"/>
    <w:rsid w:val="00D004D9"/>
    <w:rsid w:val="00D00987"/>
    <w:rsid w:val="00D01966"/>
    <w:rsid w:val="00D03248"/>
    <w:rsid w:val="00D03763"/>
    <w:rsid w:val="00D03913"/>
    <w:rsid w:val="00D044FA"/>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0E0B"/>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250"/>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7A3"/>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2E61"/>
    <w:rsid w:val="00EB33EC"/>
    <w:rsid w:val="00EB3778"/>
    <w:rsid w:val="00EB3C09"/>
    <w:rsid w:val="00EB3DE2"/>
    <w:rsid w:val="00EB420B"/>
    <w:rsid w:val="00EB43BD"/>
    <w:rsid w:val="00EB5C05"/>
    <w:rsid w:val="00EB6272"/>
    <w:rsid w:val="00EB668F"/>
    <w:rsid w:val="00EB6B98"/>
    <w:rsid w:val="00EB6EEC"/>
    <w:rsid w:val="00EB7005"/>
    <w:rsid w:val="00EB7547"/>
    <w:rsid w:val="00EB793A"/>
    <w:rsid w:val="00EC0C2B"/>
    <w:rsid w:val="00EC1777"/>
    <w:rsid w:val="00EC2383"/>
    <w:rsid w:val="00EC28AB"/>
    <w:rsid w:val="00EC3E19"/>
    <w:rsid w:val="00EC4B14"/>
    <w:rsid w:val="00EC4E52"/>
    <w:rsid w:val="00EC5024"/>
    <w:rsid w:val="00EC5A59"/>
    <w:rsid w:val="00EC5BCB"/>
    <w:rsid w:val="00EC6353"/>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D65"/>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1499"/>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5E5B"/>
    <w:rsid w:val="00FB6560"/>
    <w:rsid w:val="00FB6CE4"/>
    <w:rsid w:val="00FB75B5"/>
    <w:rsid w:val="00FB7E90"/>
    <w:rsid w:val="00FC017C"/>
    <w:rsid w:val="00FC069F"/>
    <w:rsid w:val="00FC13BC"/>
    <w:rsid w:val="00FC14CD"/>
    <w:rsid w:val="00FC1614"/>
    <w:rsid w:val="00FC162B"/>
    <w:rsid w:val="00FC1696"/>
    <w:rsid w:val="00FC3A96"/>
    <w:rsid w:val="00FC4108"/>
    <w:rsid w:val="00FC502D"/>
    <w:rsid w:val="00FC5658"/>
    <w:rsid w:val="00FC5AA5"/>
    <w:rsid w:val="00FC6354"/>
    <w:rsid w:val="00FC6995"/>
    <w:rsid w:val="00FC7244"/>
    <w:rsid w:val="00FC76E9"/>
    <w:rsid w:val="00FD0152"/>
    <w:rsid w:val="00FD09D0"/>
    <w:rsid w:val="00FD0AAD"/>
    <w:rsid w:val="00FD25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4CE9B"/>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ECC Caption,Ca,Figure-caption,CAPTION,Figure Caption,Figure-caption1,CAPTION1,Figure Caption1,Figure-caption2,CAPTION2,Figure Caption2,CAPTION3"/>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ECC Caption Char1,Ca Char1,Figure-caption Char1,CAPTION Char1,Figure Caption Char1,Figure-caption1 Char1"/>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LetterHead">
    <w:name w:val="ECC Letter Head"/>
    <w:basedOn w:val="Normal"/>
    <w:link w:val="ECCLetterHeadZchn"/>
    <w:qFormat/>
    <w:rsid w:val="0094765C"/>
    <w:pPr>
      <w:tabs>
        <w:tab w:val="right" w:pos="4750"/>
      </w:tabs>
      <w:spacing w:before="120" w:after="60"/>
      <w:jc w:val="both"/>
    </w:pPr>
    <w:rPr>
      <w:rFonts w:ascii="Arial" w:eastAsia="Calibri" w:hAnsi="Arial"/>
      <w:b/>
      <w:sz w:val="22"/>
    </w:rPr>
  </w:style>
  <w:style w:type="character" w:customStyle="1" w:styleId="ECCLetterHeadZchn">
    <w:name w:val="ECC Letter Head Zchn"/>
    <w:basedOn w:val="DefaultParagraphFont"/>
    <w:link w:val="ECCLetterHead"/>
    <w:rsid w:val="0094765C"/>
    <w:rPr>
      <w:rFonts w:ascii="Arial" w:eastAsia="Calibri" w:hAnsi="Arial"/>
      <w:b/>
      <w:sz w:val="22"/>
      <w:lang w:val="en-GB"/>
    </w:rPr>
  </w:style>
  <w:style w:type="table" w:customStyle="1" w:styleId="ECCTable-redheader">
    <w:name w:val="ECC Table - red header"/>
    <w:basedOn w:val="TableNormal"/>
    <w:uiPriority w:val="99"/>
    <w:rsid w:val="0094765C"/>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Tablehead">
    <w:name w:val="Table_head"/>
    <w:basedOn w:val="Normal"/>
    <w:next w:val="Normal"/>
    <w:rsid w:val="009476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lang w:val="fr-FR"/>
    </w:rPr>
  </w:style>
  <w:style w:type="paragraph" w:customStyle="1" w:styleId="Tabletext1">
    <w:name w:val="Table_text"/>
    <w:basedOn w:val="Normal"/>
    <w:link w:val="TabletextChar"/>
    <w:rsid w:val="009476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MS Mincho"/>
      <w:sz w:val="22"/>
      <w:lang w:val="fr-FR"/>
    </w:rPr>
  </w:style>
  <w:style w:type="paragraph" w:customStyle="1" w:styleId="Tabletitle0">
    <w:name w:val="Table_title"/>
    <w:basedOn w:val="Normal"/>
    <w:next w:val="Tablehead"/>
    <w:rsid w:val="009476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 w:val="24"/>
      <w:lang w:val="fr-FR"/>
    </w:rPr>
  </w:style>
  <w:style w:type="character" w:customStyle="1" w:styleId="TabletextChar">
    <w:name w:val="Table_text Char"/>
    <w:basedOn w:val="DefaultParagraphFont"/>
    <w:link w:val="Tabletext1"/>
    <w:locked/>
    <w:rsid w:val="0094765C"/>
    <w:rPr>
      <w:rFonts w:ascii="Times New Roman" w:eastAsia="MS Mincho" w:hAnsi="Times New Roman"/>
      <w:sz w:val="22"/>
      <w:lang w:val="fr-FR"/>
    </w:rPr>
  </w:style>
  <w:style w:type="character" w:customStyle="1" w:styleId="ECCCaptionChar">
    <w:name w:val="ECC Caption Char"/>
    <w:aliases w:val="Ca Char,Figure-caption Char,CAPTION Char,Figure Caption Char,Figure-caption1 Char,CAPTION1 Char,Figure Caption1 Char,Figure-caption2 Char,CAPTION2 Char,Figure Caption2 Char,Figure-caption3 Char,CAPTION3 Char,CAPTION4 Char"/>
    <w:locked/>
    <w:rsid w:val="00D044FA"/>
    <w:rPr>
      <w:b/>
      <w:bCs/>
      <w:color w:val="D2232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37277842">
      <w:bodyDiv w:val="1"/>
      <w:marLeft w:val="0"/>
      <w:marRight w:val="0"/>
      <w:marTop w:val="0"/>
      <w:marBottom w:val="0"/>
      <w:divBdr>
        <w:top w:val="none" w:sz="0" w:space="0" w:color="auto"/>
        <w:left w:val="none" w:sz="0" w:space="0" w:color="auto"/>
        <w:bottom w:val="none" w:sz="0" w:space="0" w:color="auto"/>
        <w:right w:val="none" w:sz="0" w:space="0" w:color="auto"/>
      </w:divBdr>
      <w:divsChild>
        <w:div w:id="173426723">
          <w:marLeft w:val="403"/>
          <w:marRight w:val="0"/>
          <w:marTop w:val="96"/>
          <w:marBottom w:val="0"/>
          <w:divBdr>
            <w:top w:val="none" w:sz="0" w:space="0" w:color="auto"/>
            <w:left w:val="none" w:sz="0" w:space="0" w:color="auto"/>
            <w:bottom w:val="none" w:sz="0" w:space="0" w:color="auto"/>
            <w:right w:val="none" w:sz="0" w:space="0" w:color="auto"/>
          </w:divBdr>
        </w:div>
        <w:div w:id="1005666113">
          <w:marLeft w:val="403"/>
          <w:marRight w:val="0"/>
          <w:marTop w:val="96"/>
          <w:marBottom w:val="0"/>
          <w:divBdr>
            <w:top w:val="none" w:sz="0" w:space="0" w:color="auto"/>
            <w:left w:val="none" w:sz="0" w:space="0" w:color="auto"/>
            <w:bottom w:val="none" w:sz="0" w:space="0" w:color="auto"/>
            <w:right w:val="none" w:sz="0" w:space="0" w:color="auto"/>
          </w:divBdr>
        </w:div>
        <w:div w:id="132215937">
          <w:marLeft w:val="403"/>
          <w:marRight w:val="0"/>
          <w:marTop w:val="96"/>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0634092">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A03B51A-D967-4204-825D-941A2504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5</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9</cp:revision>
  <cp:lastPrinted>2017-11-17T17:46:00Z</cp:lastPrinted>
  <dcterms:created xsi:type="dcterms:W3CDTF">2017-11-17T16:41:00Z</dcterms:created>
  <dcterms:modified xsi:type="dcterms:W3CDTF">2017-11-17T21:07:00Z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-1367108232</vt:i4>
  </property>
  <property fmtid="{D5CDD505-2E9C-101B-9397-08002B2CF9AE}" pid="11" name="_EmailSubject">
    <vt:lpwstr>OOB paper</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